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18 января 2013 г. N 26602</w:t>
      </w:r>
    </w:p>
    <w:p w:rsidR="003960F7" w:rsidRDefault="003960F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607н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РАКЕ КОЖИ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I-IV СТАДИИ (ЛУЧЕВАЯ ТЕРАПИЯ)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раке кожи I-IV стадии (лучевая терапия) согласно приложению.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607н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РАКЕ КОЖИ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 - IV СТАДИИ (ЛУЧЕВАЯ ТЕРАПИЯ)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 (T1N0M0) II(T2-3N0M0) III(TлюбаяN0-1M0) IV(Tлюбая Nлюбая M1)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49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6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C44</w:t>
        </w:r>
      </w:hyperlink>
      <w:r>
        <w:rPr>
          <w:rFonts w:ascii="Calibri" w:hAnsi="Calibri" w:cs="Calibri"/>
        </w:rPr>
        <w:t xml:space="preserve"> Другие злокачественные новообразования кожи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состояния, клинической ситуации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вирусу гепатита B (HBsAg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М,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кожи (одна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396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A07.01.002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Внутритканевая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Аппликационная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с изготовлением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применением индивидуальных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аппликаторов. 3D-4D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Перечень лекарственных препаратов для медицинского применения, зарегистрированных на территории Российской Федерации, с указанием средних, суточных и курсовых доз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3960F7" w:rsidSect="00B977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3996"/>
        <w:gridCol w:w="3456"/>
        <w:gridCol w:w="2700"/>
        <w:gridCol w:w="1404"/>
        <w:gridCol w:w="972"/>
        <w:gridCol w:w="972"/>
      </w:tblGrid>
      <w:tr w:rsidR="003960F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Анатомо-терапевтическо-химическая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классификация          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лекарственного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препарата </w:t>
            </w:r>
            <w:hyperlink w:anchor="Par36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частоты предоставления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Единицы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измерения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6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6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B05CB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Солевые растворы           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          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Торасемид         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   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N02AA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Природные алкалоиды опия   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Морфин            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N02AB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фенилпиперидина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   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N02AE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орипавина      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Бупренорфин       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1260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12600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Анальгетики со смешанным механизмом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          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0,04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Пропионилфенилэтоксиэтил-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пиперидин         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  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V07AB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Растворители и разбавители, включая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растворы     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Вода              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V08AB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Водорастворимые нефротропные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низкоосмолярные рентгеноконтрастные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       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Йогексол          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    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    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V08CA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Парамагнитные контрастные средства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Гадодиамид        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Гадопентетовая кислота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469,01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469,01 </w:t>
            </w:r>
          </w:p>
        </w:tc>
      </w:tr>
    </w:tbl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396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3960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Default="003960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       </w:t>
            </w:r>
          </w:p>
        </w:tc>
      </w:tr>
    </w:tbl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63"/>
      <w:bookmarkEnd w:id="2"/>
      <w:r>
        <w:rPr>
          <w:rFonts w:ascii="Calibri" w:hAnsi="Calibri" w:cs="Calibri"/>
        </w:rPr>
        <w:lastRenderedPageBreak/>
        <w:t>&lt;*&gt; Международная статистическая классификация болезней и проблем, связанных со здоровьем, X пересмотра.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6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65"/>
      <w:bookmarkEnd w:id="4"/>
      <w:r>
        <w:rPr>
          <w:rFonts w:ascii="Calibri" w:hAnsi="Calibri" w:cs="Calibri"/>
        </w:rPr>
        <w:t>&lt;***&gt; Средняя суточная доза.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66"/>
      <w:bookmarkEnd w:id="5"/>
      <w:r>
        <w:rPr>
          <w:rFonts w:ascii="Calibri" w:hAnsi="Calibri" w:cs="Calibri"/>
        </w:rPr>
        <w:t>&lt;****&gt; Средняя курсовая доза.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60F7" w:rsidRDefault="00396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60F7" w:rsidRDefault="003960F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960F7" w:rsidRDefault="003960F7"/>
    <w:sectPr w:rsidR="003960F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60F7"/>
    <w:rsid w:val="0039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960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187500508731EAF885F6C1694B0AB324E9EAEB0B00BEFF3F02F150519305A790FADCAC18BB184CzAs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87500508731EAF885F7C57A4B0AB324E4EAE30055E9FD6E57FF5559C34DB7DEBFD1AC11BFz1s8I" TargetMode="External"/><Relationship Id="rId5" Type="http://schemas.openxmlformats.org/officeDocument/2006/relationships/hyperlink" Target="consultantplus://offline/ref=F1187500508731EAF885F7C57A4B0AB324E4EAE30055E9FD6E57FFz5s5I" TargetMode="External"/><Relationship Id="rId4" Type="http://schemas.openxmlformats.org/officeDocument/2006/relationships/hyperlink" Target="consultantplus://offline/ref=F1187500508731EAF885F6C1694B0AB324E9EAEB0B00BEFF3F02F150519305A790FADCAC18BB1F44zAsD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2096</Words>
  <Characters>11953</Characters>
  <Application>Microsoft Office Word</Application>
  <DocSecurity>0</DocSecurity>
  <Lines>99</Lines>
  <Paragraphs>28</Paragraphs>
  <ScaleCrop>false</ScaleCrop>
  <Company/>
  <LinksUpToDate>false</LinksUpToDate>
  <CharactersWithSpaces>14021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2013-08-19T08:44:00Z</dcterms:created>
  <dcterms:modified xsi:type="dcterms:W3CDTF">2013-08-19T08:44:00Z</dcterms:modified>
</cp:coreProperties>
</file>