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F4" w:rsidRDefault="00055CF4">
      <w:pPr>
        <w:pStyle w:val="ConsPlusTitlePage"/>
      </w:pPr>
      <w:bookmarkStart w:id="0" w:name="_GoBack"/>
      <w:bookmarkEnd w:id="0"/>
    </w:p>
    <w:p w:rsidR="00055CF4" w:rsidRDefault="00055CF4">
      <w:pPr>
        <w:pStyle w:val="ConsPlusNormal"/>
        <w:jc w:val="both"/>
        <w:outlineLvl w:val="0"/>
      </w:pPr>
    </w:p>
    <w:p w:rsidR="00055CF4" w:rsidRDefault="00055CF4">
      <w:pPr>
        <w:pStyle w:val="ConsPlusTitle"/>
        <w:jc w:val="center"/>
      </w:pPr>
      <w:r>
        <w:t>МИНИСТЕРСТВО ЗДРАВООХРАНЕНИЯ РОССИЙСКОЙ ФЕДЕРАЦИИ</w:t>
      </w:r>
    </w:p>
    <w:p w:rsidR="00055CF4" w:rsidRDefault="00055CF4">
      <w:pPr>
        <w:pStyle w:val="ConsPlusTitle"/>
        <w:jc w:val="both"/>
      </w:pPr>
    </w:p>
    <w:p w:rsidR="00055CF4" w:rsidRDefault="00055CF4">
      <w:pPr>
        <w:pStyle w:val="ConsPlusTitle"/>
        <w:jc w:val="center"/>
      </w:pPr>
      <w:r>
        <w:t>ПИСЬМО</w:t>
      </w:r>
    </w:p>
    <w:p w:rsidR="00055CF4" w:rsidRDefault="00055CF4">
      <w:pPr>
        <w:pStyle w:val="ConsPlusTitle"/>
        <w:jc w:val="center"/>
      </w:pPr>
      <w:r>
        <w:t>от 24 октября 2017 г. N 3095/25-4</w:t>
      </w: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направляет дополнительные разъяснения вступивших в силу норм </w:t>
      </w:r>
      <w:hyperlink r:id="rId4" w:history="1">
        <w:r>
          <w:rPr>
            <w:color w:val="0000FF"/>
          </w:rPr>
          <w:t>приказа</w:t>
        </w:r>
      </w:hyperlink>
      <w:r>
        <w:t xml:space="preserve">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(далее соответственно - приказ N 403н, Правила).</w:t>
      </w: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Title"/>
        <w:ind w:firstLine="540"/>
        <w:jc w:val="both"/>
        <w:outlineLvl w:val="0"/>
      </w:pPr>
      <w:r>
        <w:t>1. По вопросу нарушения вторичной упаковки лекарственного препарата (</w:t>
      </w:r>
      <w:hyperlink r:id="rId5" w:history="1">
        <w:r>
          <w:rPr>
            <w:color w:val="0000FF"/>
          </w:rPr>
          <w:t>пункт 8</w:t>
        </w:r>
      </w:hyperlink>
      <w:r>
        <w:t xml:space="preserve"> Правил).</w:t>
      </w:r>
    </w:p>
    <w:p w:rsidR="00055CF4" w:rsidRDefault="00055CF4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Пунктом 8</w:t>
        </w:r>
      </w:hyperlink>
      <w:r>
        <w:t xml:space="preserve"> Правил определена возможность нарушения вторичной (потребительской) упаковки лекарственного препарата и отпуска его в первичной упаковке в случаях: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если количество лекарственного препарата, указанное в рецепте, меньше количества лекарственного препарата, содержащегося во вторичной (потребительской) упаковке;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если количество лекарственного препарата, отпускаемого без рецепта, необходимое пациенту, меньше количества лекарственного препарата, содержащегося во вторичной (потребительской) упаковке.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 xml:space="preserve">При этом допустимо нарушение только такой вторичной (потребительской) упаковки, вскрытие которой исключает необходимость расфасовки лекарственного препарата, например, в случаях выпуска лекарственного препарата в виде контурных ячейковых или </w:t>
      </w:r>
      <w:proofErr w:type="spellStart"/>
      <w:r>
        <w:t>безъячейковых</w:t>
      </w:r>
      <w:proofErr w:type="spellEnd"/>
      <w:r>
        <w:t xml:space="preserve"> упаковок, ампул, флаконов и др., содержащих необходимую информацию о лекарственном препарате.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При нарушении указанных вторичных (потребительских) упаковок лекарственных препаратов не требуется ведение лабораторно-фасовочного журнала.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Однако обращаем внимание, что пациенту должна быть обязательно предоставлена либо инструкция по медицинскому применению отпускаемого лекарственного препарата, либо ее копия.</w:t>
      </w: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Title"/>
        <w:ind w:firstLine="540"/>
        <w:jc w:val="both"/>
        <w:outlineLvl w:val="0"/>
      </w:pPr>
      <w:r>
        <w:t>2. По вопросу хранения рецептов на лекарственные препараты (</w:t>
      </w:r>
      <w:hyperlink r:id="rId7" w:history="1">
        <w:r>
          <w:rPr>
            <w:color w:val="0000FF"/>
          </w:rPr>
          <w:t>пункт 14</w:t>
        </w:r>
      </w:hyperlink>
      <w:r>
        <w:t xml:space="preserve"> Правил).</w:t>
      </w:r>
    </w:p>
    <w:p w:rsidR="00055CF4" w:rsidRDefault="00055CF4">
      <w:pPr>
        <w:pStyle w:val="ConsPlusNormal"/>
        <w:ind w:firstLine="540"/>
        <w:jc w:val="both"/>
      </w:pPr>
      <w:r>
        <w:t>Повторно обращаем внимание на тот факт, что приказом не вводятся новые требования по обороту лекарственных препаратов, а также по оформлению рецептов на них.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14</w:t>
        </w:r>
      </w:hyperlink>
      <w:r>
        <w:t xml:space="preserve"> Правил подлежат хранению в течение трех месяцев рецепты на лекарственные препараты определенных групп (в жидкой лекарственной форме, содержащие более 15 % этилового спирта от объема готовой продукции; относящиеся АТХ к антипсихотическим средствам (код N05A), </w:t>
      </w:r>
      <w:proofErr w:type="spellStart"/>
      <w:r>
        <w:t>анксиолитикам</w:t>
      </w:r>
      <w:proofErr w:type="spellEnd"/>
      <w:r>
        <w:t xml:space="preserve"> (код N05B), снотворным и седативным средствам (код N05C), антидепрессантам (код N06A) и не подлежащие предметно-количественному учету), выписанные на рецептурных бланках </w:t>
      </w:r>
      <w:hyperlink r:id="rId9" w:history="1">
        <w:r>
          <w:rPr>
            <w:color w:val="0000FF"/>
          </w:rPr>
          <w:t>формы N 107-1/у</w:t>
        </w:r>
      </w:hyperlink>
      <w:r>
        <w:t>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При этом соблюдение нормы об оставлении рецептов на лекарственные препараты вышеуказанных групп не зависит от времени поступления их в аптечную организацию и сроков действия рецептов, поскольку данные лекарственные препараты не подлежат предметно-количественному учету, в связи с чем не может быть осуществлена сверка соответствия оставленных рецептов и отпущенных лекарственных препаратов.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lastRenderedPageBreak/>
        <w:t xml:space="preserve">Требовать переоформления рецептов на лекарственные препараты указанных групп с учетной </w:t>
      </w:r>
      <w:hyperlink r:id="rId10" w:history="1">
        <w:r>
          <w:rPr>
            <w:color w:val="0000FF"/>
          </w:rPr>
          <w:t>формы N 107-1/у</w:t>
        </w:r>
      </w:hyperlink>
      <w:r>
        <w:t xml:space="preserve"> на учетную </w:t>
      </w:r>
      <w:hyperlink r:id="rId11" w:history="1">
        <w:r>
          <w:rPr>
            <w:color w:val="0000FF"/>
          </w:rPr>
          <w:t>форму N 148-1/у-88</w:t>
        </w:r>
      </w:hyperlink>
      <w:r>
        <w:t xml:space="preserve"> недопустимо.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 xml:space="preserve">В настоящее время медицинские работники могут выписывать вышеуказанные лекарственные препараты различными способами, применяя нормы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20 декабря 2013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хранения":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 xml:space="preserve">1) для пациентов, не являющихся хроническими больными, - путем оформления рецепта на рецептурном бланке </w:t>
      </w:r>
      <w:hyperlink r:id="rId13" w:history="1">
        <w:r>
          <w:rPr>
            <w:color w:val="0000FF"/>
          </w:rPr>
          <w:t>формы N 107-1/у</w:t>
        </w:r>
      </w:hyperlink>
      <w:r>
        <w:t xml:space="preserve"> и указанием срока действия рецепта "Рецепт действителен в течение 60 дней", а также количества лекарственного препарата, необходимого пациенту для курсового лечения на срок до 2-х месяцев. При этом в рецепте следует выписывать одно наименование лекарственного препарата.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При обращении в аптеку пациент должен приобрести все количество выписанного лекарственного препарата и оставить рецепт в аптеке для последующего его хранения;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 xml:space="preserve">2) для пациентов, являющихся хроническими больными, лечение которых длительно и превышает 2-х месячное курсовое лечение, следует применять норму, разрешающую устанавливать срок действия рецепта, выписанного на рецептурном </w:t>
      </w:r>
      <w:hyperlink r:id="rId14" w:history="1">
        <w:r>
          <w:rPr>
            <w:color w:val="0000FF"/>
          </w:rPr>
          <w:t>бланке N 107-1/у</w:t>
        </w:r>
      </w:hyperlink>
      <w:r>
        <w:t>, в пределах до 1 года.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При этом рецепт должен быть дополнительно оформлен: проставляется пометка "Пациенту с хроническим заболеванием" (ручным способом или штампом), указывает срок действия рецепта (от 2-х до 12 месяцев), периодичность отпуска лекарственного препарата из аптеки (еженедельно, ежемесячно и иные периоды). Данные указания заверяются подписью лечащего врача и его личной печатью, а также печатью медицинской организации "Для рецептов".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При обращении в аптеку с периодичностью, указанной в рецепте, пациент приобретает необходимое количество лекарственного препарата, и забирает рецепт, на котором фармацевтический работник сделал отметку об его отпуске, для последующего посещения аптеки. Рецепт подлежит оставлению в аптеке только после получения пациентом последней партии выписанного ему лекарственного препарата.</w:t>
      </w: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Title"/>
        <w:ind w:firstLine="540"/>
        <w:jc w:val="both"/>
        <w:outlineLvl w:val="0"/>
      </w:pPr>
      <w:r>
        <w:t>3. По вопросу отпуска этилового спирта и лекарственных препаратов, содержащих этиловый спирт (</w:t>
      </w:r>
      <w:hyperlink r:id="rId15" w:history="1">
        <w:r>
          <w:rPr>
            <w:color w:val="0000FF"/>
          </w:rPr>
          <w:t>пункт 23</w:t>
        </w:r>
      </w:hyperlink>
      <w:r>
        <w:t xml:space="preserve"> Правил).</w:t>
      </w:r>
    </w:p>
    <w:p w:rsidR="00055CF4" w:rsidRDefault="00055CF4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Приказом</w:t>
        </w:r>
      </w:hyperlink>
      <w:r>
        <w:t xml:space="preserve"> N 403н не установлены ограничения по объему отпуска этилового спирта в чистом виде или в смеси по рецептам.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В связи с этим этиловый спирт должен отпускаться в количестве, выписанном медицинским работником в рецепте, но с учетом установленных ограничений объема тары спирта этилового в заводской упаковке &lt;1&gt;.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августа 1999 г. N 967 "О производстве и обороте спиртосодержащих лекарственных средств и парфюмерно-косметической продукции (средств)".</w:t>
      </w: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Normal"/>
        <w:ind w:firstLine="540"/>
        <w:jc w:val="both"/>
      </w:pPr>
      <w:r>
        <w:t xml:space="preserve">Лекарственные препараты, содержащие этиловый спирт (в том числе </w:t>
      </w:r>
      <w:proofErr w:type="spellStart"/>
      <w:r>
        <w:t>экстемпорально</w:t>
      </w:r>
      <w:proofErr w:type="spellEnd"/>
      <w:r>
        <w:t xml:space="preserve"> изготовляемые аптекой или индивидуальным предпринимателем, имеющим лицензию на фармацевтическую деятельность), предназначенные для внутреннего применения, номенклатура которых включена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лекарственных препаратов для медицинского применения, в отношении которых устанавливаются требования к объему тары, упаковке и комплектности, </w:t>
      </w:r>
      <w:r>
        <w:lastRenderedPageBreak/>
        <w:t>утвержденный приказом Минздрава России от 8 февраля 2017 г. N 47н, подлежат отпуску в таре, содержащей установленный объем (25 миллилитров, 50 миллилитров, 100 миллилитров).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 xml:space="preserve">Дополнительно сообщаем, что в </w:t>
      </w:r>
      <w:hyperlink r:id="rId19" w:history="1">
        <w:r>
          <w:rPr>
            <w:color w:val="0000FF"/>
          </w:rPr>
          <w:t>приказе</w:t>
        </w:r>
      </w:hyperlink>
      <w:r>
        <w:t xml:space="preserve"> N 403н не предусмотрены нормы отпуска лекарственных препаратов, отпускаемых без рецепта врача и содержащих </w:t>
      </w:r>
      <w:proofErr w:type="spellStart"/>
      <w:r>
        <w:t>прекурсоры</w:t>
      </w:r>
      <w:proofErr w:type="spellEnd"/>
      <w:r>
        <w:t xml:space="preserve"> (например, "Калия перманганат, порошок"), или содержащих малые количества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(например, "</w:t>
      </w:r>
      <w:proofErr w:type="spellStart"/>
      <w:r>
        <w:t>Андипал</w:t>
      </w:r>
      <w:proofErr w:type="spellEnd"/>
      <w:r>
        <w:t>, таблетки").</w:t>
      </w:r>
    </w:p>
    <w:p w:rsidR="00055CF4" w:rsidRDefault="00055CF4">
      <w:pPr>
        <w:pStyle w:val="ConsPlusNormal"/>
        <w:spacing w:before="220"/>
        <w:ind w:firstLine="540"/>
        <w:jc w:val="both"/>
      </w:pPr>
      <w:r>
        <w:t>Министерство здравоохранения Российской Федерации предлагает довести данную информацию до сведения всех руководителей территориальных органов управления здравоохранением, аптечных организаций и индивидуальных предпринимателей, имеющих лицензию на фармацевтическую деятельность и осуществляющих отпуск лекарственных препаратов, медицинских организаций, осуществляющих назначение и выписывание лекарственных препаратов.</w:t>
      </w: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Normal"/>
        <w:jc w:val="right"/>
      </w:pPr>
      <w:r>
        <w:t>Директор Департамента</w:t>
      </w:r>
    </w:p>
    <w:p w:rsidR="00055CF4" w:rsidRDefault="00055CF4">
      <w:pPr>
        <w:pStyle w:val="ConsPlusNormal"/>
        <w:jc w:val="right"/>
      </w:pPr>
      <w:r>
        <w:t>лекарственного обеспечения</w:t>
      </w:r>
    </w:p>
    <w:p w:rsidR="00055CF4" w:rsidRDefault="00055CF4">
      <w:pPr>
        <w:pStyle w:val="ConsPlusNormal"/>
        <w:jc w:val="right"/>
      </w:pPr>
      <w:r>
        <w:t>и регулирования обращения</w:t>
      </w:r>
    </w:p>
    <w:p w:rsidR="00055CF4" w:rsidRDefault="00055CF4">
      <w:pPr>
        <w:pStyle w:val="ConsPlusNormal"/>
        <w:jc w:val="right"/>
      </w:pPr>
      <w:r>
        <w:t>медицинских изделий</w:t>
      </w:r>
    </w:p>
    <w:p w:rsidR="00055CF4" w:rsidRDefault="00055CF4">
      <w:pPr>
        <w:pStyle w:val="ConsPlusNormal"/>
        <w:jc w:val="right"/>
      </w:pPr>
      <w:r>
        <w:t>Минздрава России</w:t>
      </w:r>
    </w:p>
    <w:p w:rsidR="00055CF4" w:rsidRDefault="00055CF4">
      <w:pPr>
        <w:pStyle w:val="ConsPlusNormal"/>
        <w:jc w:val="right"/>
      </w:pPr>
      <w:r>
        <w:t>Е.А.МАКСИМКИНА</w:t>
      </w: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Normal"/>
        <w:jc w:val="both"/>
      </w:pPr>
    </w:p>
    <w:p w:rsidR="00055CF4" w:rsidRDefault="00055C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B0E" w:rsidRDefault="006F1B0E"/>
    <w:sectPr w:rsidR="006F1B0E" w:rsidSect="0030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F4"/>
    <w:rsid w:val="00055CF4"/>
    <w:rsid w:val="00203213"/>
    <w:rsid w:val="006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FE75-65BF-4006-BF46-A57CBB74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77999267FDBD47B0FCAB9BB67DAAFBA9C07CF6A1AEDC50C99896A6FD57250FE3DDD6EDDAEEE73180FI" TargetMode="External"/><Relationship Id="rId13" Type="http://schemas.openxmlformats.org/officeDocument/2006/relationships/hyperlink" Target="consultantplus://offline/ref=B7F77999267FDBD47B0FCAB9BB67DAAFBA9B02CA6C1CEDC50C99896A6FD57250FE3DDD6EDDAEEC7B180CI" TargetMode="External"/><Relationship Id="rId18" Type="http://schemas.openxmlformats.org/officeDocument/2006/relationships/hyperlink" Target="consultantplus://offline/ref=B7F77999267FDBD47B0FCAB9BB67DAAFBA9A03CF6A18EDC50C99896A6FD57250FE3DDD6EDDAEEE7A1801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7F77999267FDBD47B0FCAB9BB67DAAFBA9C07CF6A1AEDC50C99896A6FD57250FE3DDD6EDDAEEE73180FI" TargetMode="External"/><Relationship Id="rId12" Type="http://schemas.openxmlformats.org/officeDocument/2006/relationships/hyperlink" Target="consultantplus://offline/ref=B7F77999267FDBD47B0FCAB9BB67DAAFBA9B02CA6C1CEDC50C99896A6F1D05I" TargetMode="External"/><Relationship Id="rId17" Type="http://schemas.openxmlformats.org/officeDocument/2006/relationships/hyperlink" Target="consultantplus://offline/ref=B7F77999267FDBD47B0FCAB9BB67DAAFB99201C96716EDC50C99896A6F1D0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F77999267FDBD47B0FCAB9BB67DAAFBA9C07CF6A1AEDC50C99896A6F1D05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77999267FDBD47B0FCAB9BB67DAAFBA9C07CF6A1AEDC50C99896A6FD57250FE3DDD6EDDAEEE7D180BI" TargetMode="External"/><Relationship Id="rId11" Type="http://schemas.openxmlformats.org/officeDocument/2006/relationships/hyperlink" Target="consultantplus://offline/ref=B7F77999267FDBD47B0FCAB9BB67DAAFBA9B02CA6C1CEDC50C99896A6FD57250FE3DDD6EDDAEEC7A1808I" TargetMode="External"/><Relationship Id="rId5" Type="http://schemas.openxmlformats.org/officeDocument/2006/relationships/hyperlink" Target="consultantplus://offline/ref=B7F77999267FDBD47B0FCAB9BB67DAAFBA9C07CF6A1AEDC50C99896A6FD57250FE3DDD6EDDAEEE7D180BI" TargetMode="External"/><Relationship Id="rId15" Type="http://schemas.openxmlformats.org/officeDocument/2006/relationships/hyperlink" Target="consultantplus://offline/ref=B7F77999267FDBD47B0FCAB9BB67DAAFBA9C07CF6A1AEDC50C99896A6FD57250FE3DDD6EDDAEEF781801I" TargetMode="External"/><Relationship Id="rId10" Type="http://schemas.openxmlformats.org/officeDocument/2006/relationships/hyperlink" Target="consultantplus://offline/ref=B7F77999267FDBD47B0FCAB9BB67DAAFBA9B02CA6C1CEDC50C99896A6FD57250FE3DDD6EDDAEEC7B180CI" TargetMode="External"/><Relationship Id="rId19" Type="http://schemas.openxmlformats.org/officeDocument/2006/relationships/hyperlink" Target="consultantplus://offline/ref=B7F77999267FDBD47B0FCAB9BB67DAAFBA9C07CF6A1AEDC50C99896A6F1D05I" TargetMode="External"/><Relationship Id="rId4" Type="http://schemas.openxmlformats.org/officeDocument/2006/relationships/hyperlink" Target="consultantplus://offline/ref=B7F77999267FDBD47B0FCAB9BB67DAAFBA9C07CF6A1AEDC50C99896A6F1D05I" TargetMode="External"/><Relationship Id="rId9" Type="http://schemas.openxmlformats.org/officeDocument/2006/relationships/hyperlink" Target="consultantplus://offline/ref=B7F77999267FDBD47B0FCAB9BB67DAAFBA9B02CA6C1CEDC50C99896A6FD57250FE3DDD6EDDAEEC7B180CI" TargetMode="External"/><Relationship Id="rId14" Type="http://schemas.openxmlformats.org/officeDocument/2006/relationships/hyperlink" Target="consultantplus://offline/ref=B7F77999267FDBD47B0FCAB9BB67DAAFBA9B02CA6C1CEDC50C99896A6FD57250FE3DDD6EDDAEEC7B180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2017-10-30T08:52:00Z</dcterms:created>
  <dcterms:modified xsi:type="dcterms:W3CDTF">2017-10-30T08:56:00Z</dcterms:modified>
</cp:coreProperties>
</file>