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95" w:rsidRDefault="00BE4D9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E4D95" w:rsidRDefault="00BE4D95">
      <w:pPr>
        <w:pStyle w:val="ConsPlusNormal"/>
        <w:jc w:val="both"/>
        <w:outlineLvl w:val="0"/>
      </w:pPr>
    </w:p>
    <w:p w:rsidR="00BE4D95" w:rsidRDefault="00BE4D95">
      <w:pPr>
        <w:pStyle w:val="ConsPlusNormal"/>
        <w:outlineLvl w:val="0"/>
      </w:pPr>
      <w:r>
        <w:t>Зарегистрировано в Минюсте России 19 мая 2020 г. N 58382</w:t>
      </w:r>
    </w:p>
    <w:p w:rsidR="00BE4D95" w:rsidRDefault="00BE4D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Title"/>
        <w:jc w:val="center"/>
      </w:pPr>
      <w:r>
        <w:t>ЦЕНТРАЛЬНЫЙ БАНК РОССИЙСКОЙ ФЕДЕРАЦИИ</w:t>
      </w:r>
    </w:p>
    <w:p w:rsidR="00BE4D95" w:rsidRDefault="00BE4D95">
      <w:pPr>
        <w:pStyle w:val="ConsPlusTitle"/>
        <w:jc w:val="center"/>
      </w:pPr>
    </w:p>
    <w:p w:rsidR="00BE4D95" w:rsidRDefault="00BE4D95">
      <w:pPr>
        <w:pStyle w:val="ConsPlusTitle"/>
        <w:jc w:val="center"/>
      </w:pPr>
      <w:r>
        <w:t>УКАЗАНИЕ</w:t>
      </w:r>
    </w:p>
    <w:p w:rsidR="00BE4D95" w:rsidRDefault="00BE4D95">
      <w:pPr>
        <w:pStyle w:val="ConsPlusTitle"/>
        <w:jc w:val="center"/>
      </w:pPr>
      <w:r>
        <w:t>от 14 апреля 2020 г. N 5440-У</w:t>
      </w:r>
    </w:p>
    <w:p w:rsidR="00BE4D95" w:rsidRDefault="00BE4D95">
      <w:pPr>
        <w:pStyle w:val="ConsPlusTitle"/>
        <w:jc w:val="center"/>
      </w:pPr>
    </w:p>
    <w:p w:rsidR="00BE4D95" w:rsidRDefault="00BE4D95">
      <w:pPr>
        <w:pStyle w:val="ConsPlusTitle"/>
        <w:jc w:val="center"/>
      </w:pPr>
      <w:r>
        <w:t>О ПОРЯДКЕ</w:t>
      </w:r>
    </w:p>
    <w:p w:rsidR="00BE4D95" w:rsidRDefault="00BE4D95">
      <w:pPr>
        <w:pStyle w:val="ConsPlusTitle"/>
        <w:jc w:val="center"/>
      </w:pPr>
      <w:r>
        <w:t>ПРЕДОСТАВЛЕНИЯ КРЕДИТНЫМИ ОРГАНИЗАЦИЯМИ И НЕКРЕДИТНЫМИ</w:t>
      </w:r>
    </w:p>
    <w:p w:rsidR="00BE4D95" w:rsidRDefault="00BE4D95">
      <w:pPr>
        <w:pStyle w:val="ConsPlusTitle"/>
        <w:jc w:val="center"/>
      </w:pPr>
      <w:r>
        <w:t>ФИНАНСОВЫМИ ОРГАНИЗАЦИЯМИ ГРАЖДАНАМ СВЕДЕНИЙ О НАЛИЧИИ</w:t>
      </w:r>
    </w:p>
    <w:p w:rsidR="00BE4D95" w:rsidRDefault="00BE4D95">
      <w:pPr>
        <w:pStyle w:val="ConsPlusTitle"/>
        <w:jc w:val="center"/>
      </w:pPr>
      <w:r>
        <w:t>СЧЕТОВ И ИНОЙ ИНФОРМАЦИИ, НЕОБХОДИМОЙ ДЛЯ ПРЕДСТАВЛЕНИЯ</w:t>
      </w:r>
    </w:p>
    <w:p w:rsidR="00BE4D95" w:rsidRDefault="00BE4D95">
      <w:pPr>
        <w:pStyle w:val="ConsPlusTitle"/>
        <w:jc w:val="center"/>
      </w:pPr>
      <w:r>
        <w:t>ГРАЖДАНАМИ СВЕДЕНИЙ О ДОХОДАХ, РАСХОДАХ, ОБ ИМУЩЕСТВЕ</w:t>
      </w:r>
    </w:p>
    <w:p w:rsidR="00BE4D95" w:rsidRDefault="00BE4D95">
      <w:pPr>
        <w:pStyle w:val="ConsPlusTitle"/>
        <w:jc w:val="center"/>
      </w:pPr>
      <w:r>
        <w:t>И ОБЯЗАТЕЛЬСТВАХ ИМУЩЕСТВЕННОГО ХАРАКТЕРА, О ЕДИНОЙ</w:t>
      </w:r>
    </w:p>
    <w:p w:rsidR="00BE4D95" w:rsidRDefault="00BE4D95">
      <w:pPr>
        <w:pStyle w:val="ConsPlusTitle"/>
        <w:jc w:val="center"/>
      </w:pPr>
      <w:r>
        <w:t>ФОРМЕ ПРЕДОСТАВЛЕНИЯ СВЕДЕНИЙ И ПОРЯДКЕ ЕЕ ЗАПОЛНЕНИЯ</w:t>
      </w: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статьи 7.1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2019, N 52, ст. 7800) настоящее Указание устанавливает порядок предоставления кредитными организациями и </w:t>
      </w:r>
      <w:proofErr w:type="spellStart"/>
      <w:r>
        <w:t>некредитными</w:t>
      </w:r>
      <w:proofErr w:type="spellEnd"/>
      <w: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а также по предложению Министерства труда и социальной защиты Российской Федерации утверждает единую форму предоставления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и порядок ее заполнения.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1. Сведения о наличии счетов и иная информация, необходимая для представления гражданами сведений о доходах, расходах, об имуществе и обязательствах имущественного характера (далее - Сведения), предоставляются кредитной организацией и </w:t>
      </w:r>
      <w:proofErr w:type="spellStart"/>
      <w:r>
        <w:t>некредитной</w:t>
      </w:r>
      <w:proofErr w:type="spellEnd"/>
      <w:r>
        <w:t xml:space="preserve"> финансовой организацией (далее - организация) по единой форме, установленной </w:t>
      </w:r>
      <w:hyperlink w:anchor="P59" w:history="1">
        <w:r>
          <w:rPr>
            <w:color w:val="0000FF"/>
          </w:rPr>
          <w:t>приложением 1</w:t>
        </w:r>
      </w:hyperlink>
      <w:r>
        <w:t xml:space="preserve"> к настоящему Указанию.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Единая </w:t>
      </w:r>
      <w:hyperlink w:anchor="P59" w:history="1">
        <w:r>
          <w:rPr>
            <w:color w:val="0000FF"/>
          </w:rPr>
          <w:t>форма</w:t>
        </w:r>
      </w:hyperlink>
      <w:r>
        <w:t xml:space="preserve"> Сведений заполняется организацией в соответствии с </w:t>
      </w:r>
      <w:hyperlink w:anchor="P238" w:history="1">
        <w:r>
          <w:rPr>
            <w:color w:val="0000FF"/>
          </w:rPr>
          <w:t>приложением 2</w:t>
        </w:r>
      </w:hyperlink>
      <w:r>
        <w:t xml:space="preserve"> к настоящему Указанию.</w:t>
      </w:r>
    </w:p>
    <w:p w:rsidR="00BE4D95" w:rsidRDefault="00BE4D95">
      <w:pPr>
        <w:pStyle w:val="ConsPlusNormal"/>
        <w:spacing w:before="280"/>
        <w:ind w:firstLine="540"/>
        <w:jc w:val="both"/>
      </w:pPr>
      <w:hyperlink w:anchor="P59" w:history="1">
        <w:r>
          <w:rPr>
            <w:color w:val="0000FF"/>
          </w:rPr>
          <w:t>Сведения</w:t>
        </w:r>
      </w:hyperlink>
      <w:r>
        <w:t xml:space="preserve"> предоставляются организацией в связи с обращением гражданина (его представителя), в том числе с использованием средств дистанционного обслуживания клиента.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Наряду со </w:t>
      </w:r>
      <w:hyperlink w:anchor="P59" w:history="1">
        <w:r>
          <w:rPr>
            <w:color w:val="0000FF"/>
          </w:rPr>
          <w:t>Сведениями</w:t>
        </w:r>
      </w:hyperlink>
      <w:r>
        <w:t xml:space="preserve"> организация обязана предоставить выписку о движении денежных средств по счету за отчетный период, являющуюся приложением к </w:t>
      </w:r>
      <w:hyperlink w:anchor="P59" w:history="1">
        <w:r>
          <w:rPr>
            <w:color w:val="0000FF"/>
          </w:rPr>
          <w:t>Сведениям</w:t>
        </w:r>
      </w:hyperlink>
      <w:r>
        <w:t xml:space="preserve">, в случае ее истребования гражданином (его представителем). Выписка по счету в драгоценных металлах как приложение к </w:t>
      </w:r>
      <w:hyperlink w:anchor="P59" w:history="1">
        <w:r>
          <w:rPr>
            <w:color w:val="0000FF"/>
          </w:rPr>
          <w:t>Сведениям</w:t>
        </w:r>
      </w:hyperlink>
      <w:r>
        <w:t xml:space="preserve"> не предоставляется.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2. Организация обязана предоставить гражданину (его представителю) </w:t>
      </w:r>
      <w:hyperlink w:anchor="P59" w:history="1">
        <w:r>
          <w:rPr>
            <w:color w:val="0000FF"/>
          </w:rPr>
          <w:t>Сведения</w:t>
        </w:r>
      </w:hyperlink>
      <w:r>
        <w:t xml:space="preserve"> на указанную им отчетную дату на бумажном носителе или в электронном виде (по его выбору) не позднее 5 рабочих дней после дня обращения гражданина (его представителя).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3. В случае предоставления организацией гражданину (его представителю) </w:t>
      </w:r>
      <w:hyperlink w:anchor="P59" w:history="1">
        <w:r>
          <w:rPr>
            <w:color w:val="0000FF"/>
          </w:rPr>
          <w:t>Сведений</w:t>
        </w:r>
      </w:hyperlink>
      <w:r>
        <w:t xml:space="preserve"> на бумажном носителе, насчитывающих более одного листа, листы </w:t>
      </w:r>
      <w:hyperlink w:anchor="P59" w:history="1">
        <w:r>
          <w:rPr>
            <w:color w:val="0000FF"/>
          </w:rPr>
          <w:t>Сведений</w:t>
        </w:r>
      </w:hyperlink>
      <w:r>
        <w:t xml:space="preserve"> должны быть пронумерованы, прошиты, скреплены на оборотной стороне последнего листа </w:t>
      </w:r>
      <w:proofErr w:type="spellStart"/>
      <w:r>
        <w:t>заверительной</w:t>
      </w:r>
      <w:proofErr w:type="spellEnd"/>
      <w:r>
        <w:t xml:space="preserve"> надписью с указанием цифрами и прописью количества листов, подписаны лицом, уполномоченным организацией, с указанием его инициалов, фамилии, должности и даты заверения и проставлением печати (при наличии) либо заверены и подписаны на каждой странице (за исключением последней, которая оформляется согласно </w:t>
      </w:r>
      <w:hyperlink w:anchor="P59" w:history="1">
        <w:r>
          <w:rPr>
            <w:color w:val="0000FF"/>
          </w:rPr>
          <w:t>приложению 1</w:t>
        </w:r>
      </w:hyperlink>
      <w:r>
        <w:t xml:space="preserve"> к настоящему Указанию) лицом, уполномоченным организацией, с указанием его инициалов, фамилии, должности и даты заверения и проставлением печати (при наличии).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Порядок предоставления гражданину (его представителю) </w:t>
      </w:r>
      <w:hyperlink w:anchor="P59" w:history="1">
        <w:r>
          <w:rPr>
            <w:color w:val="0000FF"/>
          </w:rPr>
          <w:t>Сведений</w:t>
        </w:r>
      </w:hyperlink>
      <w:r>
        <w:t xml:space="preserve"> в электронном виде, в том числе с использованием средств дистанционного обслуживания клиентов, определяется организацией самостоятельно с учетом требований настоящего Указания.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4. Организация предоставляет </w:t>
      </w:r>
      <w:hyperlink w:anchor="P59" w:history="1">
        <w:r>
          <w:rPr>
            <w:color w:val="0000FF"/>
          </w:rPr>
          <w:t>Сведения</w:t>
        </w:r>
      </w:hyperlink>
      <w:r>
        <w:t xml:space="preserve"> гражданам, являющимся либо являвшимся клиентами организации в отчетный период и (или) на отчетную дату, либо их представителям.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5. В соответствии с внутренними документами организация должна принять меры, направленные на фиксирование фактов обращений за получением </w:t>
      </w:r>
      <w:hyperlink w:anchor="P59" w:history="1">
        <w:r>
          <w:rPr>
            <w:color w:val="0000FF"/>
          </w:rPr>
          <w:t>Сведений</w:t>
        </w:r>
      </w:hyperlink>
      <w:r>
        <w:t xml:space="preserve"> граждан, являющихся либо являвшихся клиентами организации в отчетный период и (или) на отчетную дату (их представителями).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соответствии с внутренними документами организация должна принять меры, направленные на исключение получения </w:t>
      </w:r>
      <w:hyperlink w:anchor="P59" w:history="1">
        <w:r>
          <w:rPr>
            <w:color w:val="0000FF"/>
          </w:rPr>
          <w:t>Сведений</w:t>
        </w:r>
      </w:hyperlink>
      <w:r>
        <w:t xml:space="preserve"> гражданами, не являющимися или не являвшимися клиентами организации в отчетный период и (или) на отчетную дату (их представителями).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lastRenderedPageBreak/>
        <w:t>6. Настоящее Указание подлежит официальному опубликованию и в соответствии с решением Совета директоров Банка России (протокол заседания Совета директоров Банка России от 10 апреля 2020 года N 9) вступает в силу с 1 сентября 2020 года.</w:t>
      </w: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right"/>
      </w:pPr>
      <w:r>
        <w:t>Председатель Центрального банка</w:t>
      </w:r>
    </w:p>
    <w:p w:rsidR="00BE4D95" w:rsidRDefault="00BE4D95">
      <w:pPr>
        <w:pStyle w:val="ConsPlusNormal"/>
        <w:jc w:val="right"/>
      </w:pPr>
      <w:r>
        <w:t>Российской Федерации</w:t>
      </w:r>
    </w:p>
    <w:p w:rsidR="00BE4D95" w:rsidRDefault="00BE4D95">
      <w:pPr>
        <w:pStyle w:val="ConsPlusNormal"/>
        <w:jc w:val="right"/>
      </w:pPr>
      <w:r>
        <w:t>Э.С.НАБИУЛЛИНА</w:t>
      </w: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right"/>
        <w:outlineLvl w:val="0"/>
      </w:pPr>
      <w:r>
        <w:t>Приложение 1</w:t>
      </w:r>
    </w:p>
    <w:p w:rsidR="00BE4D95" w:rsidRDefault="00BE4D95">
      <w:pPr>
        <w:pStyle w:val="ConsPlusNormal"/>
        <w:jc w:val="right"/>
      </w:pPr>
      <w:r>
        <w:t>к Указанию Банка России</w:t>
      </w:r>
    </w:p>
    <w:p w:rsidR="00BE4D95" w:rsidRDefault="00BE4D95">
      <w:pPr>
        <w:pStyle w:val="ConsPlusNormal"/>
        <w:jc w:val="right"/>
      </w:pPr>
      <w:r>
        <w:t>от 14 апреля 2020 года N 5440-У</w:t>
      </w:r>
    </w:p>
    <w:p w:rsidR="00BE4D95" w:rsidRDefault="00BE4D95">
      <w:pPr>
        <w:pStyle w:val="ConsPlusNormal"/>
        <w:jc w:val="right"/>
      </w:pPr>
      <w:r>
        <w:t>"О порядке предоставления</w:t>
      </w:r>
    </w:p>
    <w:p w:rsidR="00BE4D95" w:rsidRDefault="00BE4D95">
      <w:pPr>
        <w:pStyle w:val="ConsPlusNormal"/>
        <w:jc w:val="right"/>
      </w:pPr>
      <w:r>
        <w:t>кредитными организациями</w:t>
      </w:r>
    </w:p>
    <w:p w:rsidR="00BE4D95" w:rsidRDefault="00BE4D95">
      <w:pPr>
        <w:pStyle w:val="ConsPlusNormal"/>
        <w:jc w:val="right"/>
      </w:pPr>
      <w:r>
        <w:t xml:space="preserve">и </w:t>
      </w:r>
      <w:proofErr w:type="spellStart"/>
      <w:r>
        <w:t>некредитными</w:t>
      </w:r>
      <w:proofErr w:type="spellEnd"/>
      <w:r>
        <w:t xml:space="preserve"> финансовыми</w:t>
      </w:r>
    </w:p>
    <w:p w:rsidR="00BE4D95" w:rsidRDefault="00BE4D95">
      <w:pPr>
        <w:pStyle w:val="ConsPlusNormal"/>
        <w:jc w:val="right"/>
      </w:pPr>
      <w:r>
        <w:t>организациями гражданам сведений</w:t>
      </w:r>
    </w:p>
    <w:p w:rsidR="00BE4D95" w:rsidRDefault="00BE4D95">
      <w:pPr>
        <w:pStyle w:val="ConsPlusNormal"/>
        <w:jc w:val="right"/>
      </w:pPr>
      <w:r>
        <w:t>о наличии счетов и иной информации,</w:t>
      </w:r>
    </w:p>
    <w:p w:rsidR="00BE4D95" w:rsidRDefault="00BE4D95">
      <w:pPr>
        <w:pStyle w:val="ConsPlusNormal"/>
        <w:jc w:val="right"/>
      </w:pPr>
      <w:r>
        <w:t>необходимой для представления</w:t>
      </w:r>
    </w:p>
    <w:p w:rsidR="00BE4D95" w:rsidRDefault="00BE4D95">
      <w:pPr>
        <w:pStyle w:val="ConsPlusNormal"/>
        <w:jc w:val="right"/>
      </w:pPr>
      <w:r>
        <w:t>гражданами сведений о доходах,</w:t>
      </w:r>
    </w:p>
    <w:p w:rsidR="00BE4D95" w:rsidRDefault="00BE4D95">
      <w:pPr>
        <w:pStyle w:val="ConsPlusNormal"/>
        <w:jc w:val="right"/>
      </w:pPr>
      <w:r>
        <w:t>расходах, об имуществе</w:t>
      </w:r>
    </w:p>
    <w:p w:rsidR="00BE4D95" w:rsidRDefault="00BE4D95">
      <w:pPr>
        <w:pStyle w:val="ConsPlusNormal"/>
        <w:jc w:val="right"/>
      </w:pPr>
      <w:r>
        <w:t>и обязательствах имущественного</w:t>
      </w:r>
    </w:p>
    <w:p w:rsidR="00BE4D95" w:rsidRDefault="00BE4D95">
      <w:pPr>
        <w:pStyle w:val="ConsPlusNormal"/>
        <w:jc w:val="right"/>
      </w:pPr>
      <w:r>
        <w:t>характера, о единой форме</w:t>
      </w:r>
    </w:p>
    <w:p w:rsidR="00BE4D95" w:rsidRDefault="00BE4D95">
      <w:pPr>
        <w:pStyle w:val="ConsPlusNormal"/>
        <w:jc w:val="right"/>
      </w:pPr>
      <w:r>
        <w:t>предоставления сведений</w:t>
      </w:r>
    </w:p>
    <w:p w:rsidR="00BE4D95" w:rsidRDefault="00BE4D95">
      <w:pPr>
        <w:pStyle w:val="ConsPlusNormal"/>
        <w:jc w:val="right"/>
      </w:pPr>
      <w:r>
        <w:t>и порядке ее заполнения"</w:t>
      </w: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right"/>
      </w:pPr>
      <w:r>
        <w:t>(единая форма)</w:t>
      </w:r>
    </w:p>
    <w:p w:rsidR="00BE4D95" w:rsidRDefault="00BE4D95">
      <w:pPr>
        <w:pStyle w:val="ConsPlusNormal"/>
        <w:jc w:val="both"/>
      </w:pPr>
    </w:p>
    <w:tbl>
      <w:tblPr>
        <w:tblW w:w="0" w:type="auto"/>
        <w:tblBorders>
          <w:lef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340"/>
        <w:gridCol w:w="2098"/>
        <w:gridCol w:w="340"/>
        <w:gridCol w:w="3005"/>
      </w:tblGrid>
      <w:tr w:rsidR="00BE4D95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Наименование и место нахождения кредитной организации/</w:t>
            </w:r>
            <w:proofErr w:type="spellStart"/>
            <w:r>
              <w:t>некредитной</w:t>
            </w:r>
            <w:proofErr w:type="spellEnd"/>
            <w:r>
              <w:t xml:space="preserve"> финансовой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Телефон/сайт в информационно-телекоммуникационной сети "Интернет" кредитной организации/</w:t>
            </w:r>
            <w:proofErr w:type="spellStart"/>
            <w:r>
              <w:t>некредитной</w:t>
            </w:r>
            <w:proofErr w:type="spellEnd"/>
            <w:r>
              <w:t xml:space="preserve"> финансовой организации</w:t>
            </w:r>
          </w:p>
        </w:tc>
      </w:tr>
      <w:tr w:rsidR="00BE4D95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D95" w:rsidRDefault="00BE4D95">
            <w:pPr>
              <w:pStyle w:val="ConsPlusNormal"/>
            </w:pPr>
            <w:bookmarkStart w:id="0" w:name="P59"/>
            <w:bookmarkEnd w:id="0"/>
            <w:r>
              <w:t xml:space="preserve">Сведения о наличии счетов и иной информации, необходимой для представления гражданами сведений о доходах, расходах, об имуществе и </w:t>
            </w:r>
            <w:r>
              <w:lastRenderedPageBreak/>
              <w:t>обязательствах имущественного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</w:tr>
      <w:tr w:rsidR="00BE4D95">
        <w:tblPrEx>
          <w:tblBorders>
            <w:left w:val="single" w:sz="4" w:space="0" w:color="auto"/>
          </w:tblBorders>
        </w:tblPrEx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D95" w:rsidRDefault="00BE4D95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Отчетная дата</w:t>
            </w:r>
          </w:p>
          <w:p w:rsidR="00BE4D95" w:rsidRDefault="00BE4D95">
            <w:pPr>
              <w:pStyle w:val="ConsPlusNormal"/>
            </w:pPr>
            <w: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31.12.xxxx на 23 ч. 59 мин.</w:t>
            </w:r>
          </w:p>
          <w:p w:rsidR="00BE4D95" w:rsidRDefault="00BE4D95">
            <w:pPr>
              <w:pStyle w:val="ConsPlusNormal"/>
            </w:pPr>
            <w:r>
              <w:t>с 01.01.xxxx по 31.12.xxxx</w:t>
            </w:r>
          </w:p>
        </w:tc>
      </w:tr>
      <w:tr w:rsidR="00BE4D95">
        <w:tblPrEx>
          <w:tblBorders>
            <w:left w:val="single" w:sz="4" w:space="0" w:color="auto"/>
          </w:tblBorders>
        </w:tblPrEx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D95" w:rsidRDefault="00BE4D95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D95" w:rsidRDefault="00BE4D95">
            <w:pPr>
              <w:pStyle w:val="ConsPlusNormal"/>
              <w:jc w:val="both"/>
            </w:pPr>
            <w:r>
              <w:t>либо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</w:tr>
      <w:tr w:rsidR="00BE4D95">
        <w:tblPrEx>
          <w:tblBorders>
            <w:left w:val="single" w:sz="4" w:space="0" w:color="auto"/>
          </w:tblBorders>
        </w:tblPrEx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Отчетная дата</w:t>
            </w:r>
          </w:p>
          <w:p w:rsidR="00BE4D95" w:rsidRDefault="00BE4D95">
            <w:pPr>
              <w:pStyle w:val="ConsPlusNormal"/>
            </w:pPr>
            <w: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proofErr w:type="spellStart"/>
            <w:r>
              <w:t>xx.xx.xxxx</w:t>
            </w:r>
            <w:proofErr w:type="spellEnd"/>
            <w:r>
              <w:t xml:space="preserve"> на 23 ч. 59 мин</w:t>
            </w:r>
          </w:p>
          <w:p w:rsidR="00BE4D95" w:rsidRDefault="00BE4D95">
            <w:pPr>
              <w:pStyle w:val="ConsPlusNormal"/>
            </w:pPr>
            <w:r>
              <w:t>с 01.01.xxxx по 31.12.xxxx</w:t>
            </w:r>
          </w:p>
        </w:tc>
      </w:tr>
      <w:tr w:rsidR="00BE4D95">
        <w:tblPrEx>
          <w:tblBorders>
            <w:left w:val="single" w:sz="4" w:space="0" w:color="auto"/>
          </w:tblBorders>
        </w:tblPrEx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</w:tr>
    </w:tbl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  <w:outlineLvl w:val="1"/>
      </w:pPr>
      <w:bookmarkStart w:id="1" w:name="P87"/>
      <w:bookmarkEnd w:id="1"/>
      <w:r>
        <w:t>Раздел 1. Сведения о счетах и доходе, выплаченном по счетам</w:t>
      </w:r>
    </w:p>
    <w:p w:rsidR="00BE4D95" w:rsidRDefault="00BE4D95">
      <w:pPr>
        <w:pStyle w:val="ConsPlusNormal"/>
        <w:jc w:val="both"/>
      </w:pPr>
    </w:p>
    <w:p w:rsidR="00BE4D95" w:rsidRDefault="00BE4D95">
      <w:pPr>
        <w:sectPr w:rsidR="00BE4D95" w:rsidSect="006F7A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474"/>
        <w:gridCol w:w="1361"/>
        <w:gridCol w:w="964"/>
        <w:gridCol w:w="1304"/>
        <w:gridCol w:w="1701"/>
        <w:gridCol w:w="1871"/>
        <w:gridCol w:w="1531"/>
      </w:tblGrid>
      <w:tr w:rsidR="00BE4D9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2" w:name="P90"/>
            <w:bookmarkEnd w:id="2"/>
            <w:r>
              <w:t>Номер счета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3" w:name="P91"/>
            <w:bookmarkEnd w:id="3"/>
            <w:r>
              <w:t>Вид счета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right"/>
            </w:pPr>
            <w:bookmarkStart w:id="4" w:name="P92"/>
            <w:bookmarkEnd w:id="4"/>
            <w:r>
              <w:t>Валюта счета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right"/>
            </w:pPr>
            <w:bookmarkStart w:id="5" w:name="P93"/>
            <w:bookmarkEnd w:id="5"/>
            <w:r>
              <w:t>Дата открытия/закрытия счета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right"/>
            </w:pPr>
            <w:bookmarkStart w:id="6" w:name="P94"/>
            <w:bookmarkEnd w:id="6"/>
            <w:r>
              <w:t>Остаток денежных средств на счете на отчетную дату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right"/>
            </w:pPr>
            <w:bookmarkStart w:id="7" w:name="P95"/>
            <w:bookmarkEnd w:id="7"/>
            <w:r>
              <w:t>Сумма поступивших на счет денежных средств за отчетный период (руб.)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right"/>
            </w:pPr>
            <w:bookmarkStart w:id="8" w:name="P96"/>
            <w:bookmarkEnd w:id="8"/>
            <w:r>
              <w:t>Доход, выплаченный по счету за отчетный период (руб.)</w:t>
            </w:r>
          </w:p>
        </w:tc>
      </w:tr>
      <w:tr w:rsidR="00BE4D95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</w:t>
            </w:r>
          </w:p>
        </w:tc>
      </w:tr>
      <w:tr w:rsidR="00BE4D95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</w:tr>
      <w:tr w:rsidR="00BE4D95">
        <w:tc>
          <w:tcPr>
            <w:tcW w:w="10546" w:type="dxa"/>
            <w:gridSpan w:val="8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  <w:jc w:val="both"/>
            </w:pPr>
            <w:r>
              <w:t>Итого выплаченный доход по счетам за отчетный период (руб.): ______________</w:t>
            </w:r>
          </w:p>
        </w:tc>
      </w:tr>
    </w:tbl>
    <w:p w:rsidR="00BE4D95" w:rsidRDefault="00BE4D95">
      <w:pPr>
        <w:sectPr w:rsidR="00BE4D95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  <w:outlineLvl w:val="1"/>
      </w:pPr>
      <w:bookmarkStart w:id="9" w:name="P115"/>
      <w:bookmarkEnd w:id="9"/>
      <w:r>
        <w:t>Раздел 2. Сведения о ценных бумагах</w:t>
      </w: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  <w:outlineLvl w:val="2"/>
      </w:pPr>
      <w:bookmarkStart w:id="10" w:name="P117"/>
      <w:bookmarkEnd w:id="10"/>
      <w:r>
        <w:t>Подраздел 2.1. Акции</w:t>
      </w:r>
    </w:p>
    <w:p w:rsidR="00BE4D95" w:rsidRDefault="00BE4D9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2268"/>
        <w:gridCol w:w="1644"/>
        <w:gridCol w:w="1304"/>
        <w:gridCol w:w="1531"/>
        <w:gridCol w:w="1871"/>
      </w:tblGrid>
      <w:tr w:rsidR="00BE4D95">
        <w:tc>
          <w:tcPr>
            <w:tcW w:w="432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11" w:name="P120"/>
            <w:bookmarkEnd w:id="11"/>
            <w:r>
              <w:t>Наименование эмитента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12" w:name="P121"/>
            <w:bookmarkEnd w:id="12"/>
            <w:r>
              <w:t>Место нахождения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13" w:name="P122"/>
            <w:bookmarkEnd w:id="13"/>
            <w:r>
              <w:t>Уставный капитал (руб.)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14" w:name="P123"/>
            <w:bookmarkEnd w:id="14"/>
            <w:r>
              <w:t>Доля участия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15" w:name="P124"/>
            <w:bookmarkEnd w:id="15"/>
            <w:r>
              <w:t>Основание приобретения</w:t>
            </w:r>
          </w:p>
        </w:tc>
      </w:tr>
      <w:tr w:rsidR="00BE4D95">
        <w:tc>
          <w:tcPr>
            <w:tcW w:w="432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--------------------------</w:t>
            </w: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------------------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---------------------</w:t>
            </w:r>
          </w:p>
        </w:tc>
      </w:tr>
    </w:tbl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  <w:outlineLvl w:val="2"/>
      </w:pPr>
      <w:bookmarkStart w:id="16" w:name="P132"/>
      <w:bookmarkEnd w:id="16"/>
      <w:r>
        <w:t>Подраздел 2.2. Иные ценные бумаги</w:t>
      </w:r>
    </w:p>
    <w:p w:rsidR="00BE4D95" w:rsidRDefault="00BE4D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871"/>
        <w:gridCol w:w="1814"/>
        <w:gridCol w:w="1928"/>
        <w:gridCol w:w="1361"/>
        <w:gridCol w:w="1701"/>
      </w:tblGrid>
      <w:tr w:rsidR="00BE4D95"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r>
              <w:t>N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17" w:name="P135"/>
            <w:bookmarkEnd w:id="17"/>
            <w:r>
              <w:t>Вид и наименование ценной бумаги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18" w:name="P136"/>
            <w:bookmarkEnd w:id="18"/>
            <w:r>
              <w:t>Лицо, выдавшее (выпустившее) ценную бумагу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19" w:name="P137"/>
            <w:bookmarkEnd w:id="19"/>
            <w:r>
              <w:t>Номинальная величина обязательства (руб.)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20" w:name="P138"/>
            <w:bookmarkEnd w:id="20"/>
            <w:r>
              <w:t>Общее количество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21" w:name="P139"/>
            <w:bookmarkEnd w:id="21"/>
            <w:r>
              <w:t>Общая стоимость (руб.)</w:t>
            </w:r>
          </w:p>
        </w:tc>
      </w:tr>
      <w:tr w:rsidR="00BE4D95">
        <w:tc>
          <w:tcPr>
            <w:tcW w:w="397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---------------------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--------------------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----------------------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-------------------</w:t>
            </w:r>
          </w:p>
        </w:tc>
      </w:tr>
      <w:tr w:rsidR="00BE4D95"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Итого по разделу "Сведения о ценных бумагах" суммарная декларированная стоимость ценных бумаг (руб.):</w:t>
            </w:r>
          </w:p>
        </w:tc>
      </w:tr>
    </w:tbl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  <w:outlineLvl w:val="2"/>
      </w:pPr>
      <w:bookmarkStart w:id="22" w:name="P148"/>
      <w:bookmarkEnd w:id="22"/>
      <w:r>
        <w:t>Подраздел 2.3. Доходы от ценных бумаг</w:t>
      </w:r>
    </w:p>
    <w:p w:rsidR="00BE4D95" w:rsidRDefault="00BE4D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5783"/>
        <w:gridCol w:w="1480"/>
        <w:gridCol w:w="1468"/>
      </w:tblGrid>
      <w:tr w:rsidR="00BE4D95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bookmarkStart w:id="23" w:name="P151"/>
            <w:bookmarkEnd w:id="23"/>
            <w:r>
              <w:t>Вид дохода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  <w:jc w:val="right"/>
            </w:pPr>
            <w:bookmarkStart w:id="24" w:name="P152"/>
            <w:bookmarkEnd w:id="24"/>
            <w:r>
              <w:t>Величина дохода (руб.)</w:t>
            </w:r>
          </w:p>
        </w:tc>
      </w:tr>
      <w:tr w:rsidR="00BE4D95">
        <w:tc>
          <w:tcPr>
            <w:tcW w:w="340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gridSpan w:val="2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  <w:jc w:val="right"/>
            </w:pPr>
            <w:r>
              <w:t>-----</w:t>
            </w:r>
          </w:p>
        </w:tc>
      </w:tr>
      <w:tr w:rsidR="00BE4D95">
        <w:tc>
          <w:tcPr>
            <w:tcW w:w="7603" w:type="dxa"/>
            <w:gridSpan w:val="3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Итого сумма доходов от ценных бумаг за отчетный период (руб.):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  <w:jc w:val="right"/>
            </w:pPr>
            <w:r>
              <w:t>-----</w:t>
            </w:r>
          </w:p>
        </w:tc>
      </w:tr>
    </w:tbl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  <w:outlineLvl w:val="1"/>
      </w:pPr>
      <w:bookmarkStart w:id="25" w:name="P159"/>
      <w:bookmarkEnd w:id="25"/>
      <w:r>
        <w:t>Раздел 3. Сведения об иных доходах</w:t>
      </w:r>
    </w:p>
    <w:p w:rsidR="00BE4D95" w:rsidRDefault="00BE4D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5783"/>
        <w:gridCol w:w="1480"/>
        <w:gridCol w:w="1468"/>
      </w:tblGrid>
      <w:tr w:rsidR="00BE4D95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bookmarkStart w:id="26" w:name="P162"/>
            <w:bookmarkEnd w:id="26"/>
            <w:r>
              <w:t>Вид дохода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  <w:jc w:val="right"/>
            </w:pPr>
            <w:bookmarkStart w:id="27" w:name="P163"/>
            <w:bookmarkEnd w:id="27"/>
            <w:r>
              <w:t>Величина дохода (руб.)</w:t>
            </w:r>
          </w:p>
        </w:tc>
      </w:tr>
      <w:tr w:rsidR="00BE4D95">
        <w:tc>
          <w:tcPr>
            <w:tcW w:w="340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-----------------------------------</w:t>
            </w:r>
          </w:p>
        </w:tc>
        <w:tc>
          <w:tcPr>
            <w:tcW w:w="2948" w:type="dxa"/>
            <w:gridSpan w:val="2"/>
            <w:tcBorders>
              <w:left w:val="nil"/>
              <w:right w:val="nil"/>
            </w:tcBorders>
          </w:tcPr>
          <w:p w:rsidR="00BE4D95" w:rsidRDefault="00BE4D95">
            <w:pPr>
              <w:pStyle w:val="ConsPlusNormal"/>
              <w:jc w:val="right"/>
            </w:pPr>
            <w:r>
              <w:t>-----</w:t>
            </w:r>
          </w:p>
        </w:tc>
      </w:tr>
      <w:tr w:rsidR="00BE4D95">
        <w:tc>
          <w:tcPr>
            <w:tcW w:w="7603" w:type="dxa"/>
            <w:gridSpan w:val="3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Итого сумма иных доходов за отчетный период (руб.):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  <w:jc w:val="right"/>
            </w:pPr>
            <w:r>
              <w:t>-----</w:t>
            </w:r>
          </w:p>
        </w:tc>
      </w:tr>
    </w:tbl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  <w:outlineLvl w:val="1"/>
      </w:pPr>
      <w:bookmarkStart w:id="28" w:name="P170"/>
      <w:bookmarkEnd w:id="28"/>
      <w:r>
        <w:t>Раздел 4. Срочные обязательства финансового характера</w:t>
      </w: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  <w:outlineLvl w:val="2"/>
      </w:pPr>
      <w:bookmarkStart w:id="29" w:name="P172"/>
      <w:bookmarkEnd w:id="29"/>
      <w:r>
        <w:lastRenderedPageBreak/>
        <w:t>Подраздел 4.1. Срочные обязательства финансового характера, по которым гражданин является должником</w:t>
      </w:r>
    </w:p>
    <w:p w:rsidR="00BE4D95" w:rsidRDefault="00BE4D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191"/>
        <w:gridCol w:w="1191"/>
        <w:gridCol w:w="2211"/>
        <w:gridCol w:w="1133"/>
        <w:gridCol w:w="1871"/>
        <w:gridCol w:w="1134"/>
      </w:tblGrid>
      <w:tr w:rsidR="00BE4D95"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N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bookmarkStart w:id="30" w:name="P175"/>
            <w:bookmarkEnd w:id="30"/>
            <w:r>
              <w:t>Содержание обязательства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bookmarkStart w:id="31" w:name="P176"/>
            <w:bookmarkEnd w:id="31"/>
            <w:r>
              <w:t>Кредитор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</w:pPr>
            <w:bookmarkStart w:id="32" w:name="P177"/>
            <w:bookmarkEnd w:id="32"/>
            <w:r>
              <w:t>Основание возникновения обязательства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  <w:jc w:val="right"/>
            </w:pPr>
            <w:bookmarkStart w:id="33" w:name="P178"/>
            <w:bookmarkEnd w:id="33"/>
            <w:r>
              <w:t>Сумма обязательства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  <w:jc w:val="right"/>
            </w:pPr>
            <w:bookmarkStart w:id="34" w:name="P179"/>
            <w:bookmarkEnd w:id="34"/>
            <w:r>
              <w:t>Размер обязательства и начисленных процентов (руб.)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E4D95" w:rsidRDefault="00BE4D95">
            <w:pPr>
              <w:pStyle w:val="ConsPlusNormal"/>
              <w:jc w:val="right"/>
            </w:pPr>
            <w:bookmarkStart w:id="35" w:name="P180"/>
            <w:bookmarkEnd w:id="35"/>
            <w:r>
              <w:t>Условия обязательства</w:t>
            </w:r>
          </w:p>
        </w:tc>
      </w:tr>
      <w:tr w:rsidR="00BE4D95"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-------------------------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  <w:jc w:val="both"/>
            </w:pPr>
            <w:r>
              <w:t>----------</w:t>
            </w:r>
          </w:p>
        </w:tc>
      </w:tr>
    </w:tbl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  <w:outlineLvl w:val="2"/>
      </w:pPr>
      <w:bookmarkStart w:id="36" w:name="P189"/>
      <w:bookmarkEnd w:id="36"/>
      <w:r>
        <w:t>Подраздел 4.2. Срочные обязательства финансового характера, по которым гражданин является кредитором</w:t>
      </w:r>
    </w:p>
    <w:p w:rsidR="00BE4D95" w:rsidRDefault="00BE4D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1077"/>
        <w:gridCol w:w="1814"/>
        <w:gridCol w:w="2098"/>
        <w:gridCol w:w="1020"/>
        <w:gridCol w:w="1531"/>
        <w:gridCol w:w="1077"/>
      </w:tblGrid>
      <w:tr w:rsidR="00BE4D95">
        <w:tc>
          <w:tcPr>
            <w:tcW w:w="437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r>
              <w:t>N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37" w:name="P192"/>
            <w:bookmarkEnd w:id="37"/>
            <w:r>
              <w:t>Содержание обязательства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38" w:name="P193"/>
            <w:bookmarkEnd w:id="38"/>
            <w:r>
              <w:t>Должник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bookmarkStart w:id="39" w:name="P194"/>
            <w:bookmarkEnd w:id="39"/>
            <w:r>
              <w:t>Основание возникновения обязательства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right"/>
            </w:pPr>
            <w:bookmarkStart w:id="40" w:name="P195"/>
            <w:bookmarkEnd w:id="40"/>
            <w:r>
              <w:t>Сумма обязательства (руб.)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right"/>
            </w:pPr>
            <w:bookmarkStart w:id="41" w:name="P196"/>
            <w:bookmarkEnd w:id="41"/>
            <w:r>
              <w:t>Размер обязательства и начисленных процентов (руб.)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  <w:jc w:val="right"/>
            </w:pPr>
            <w:bookmarkStart w:id="42" w:name="P197"/>
            <w:bookmarkEnd w:id="42"/>
            <w:r>
              <w:t>Условия обязательства</w:t>
            </w:r>
          </w:p>
        </w:tc>
      </w:tr>
      <w:tr w:rsidR="00BE4D95"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:rsidR="00BE4D95" w:rsidRDefault="00BE4D95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  <w:vAlign w:val="center"/>
          </w:tcPr>
          <w:p w:rsidR="00BE4D95" w:rsidRDefault="00BE4D95">
            <w:pPr>
              <w:pStyle w:val="ConsPlusNormal"/>
            </w:pPr>
            <w:r>
              <w:t>-----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--------------------</w:t>
            </w: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  <w:vAlign w:val="center"/>
          </w:tcPr>
          <w:p w:rsidR="00BE4D95" w:rsidRDefault="00BE4D95">
            <w:pPr>
              <w:pStyle w:val="ConsPlusNormal"/>
            </w:pPr>
            <w:r>
              <w:t>------------------------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-------------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----------</w:t>
            </w:r>
          </w:p>
        </w:tc>
      </w:tr>
    </w:tbl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</w:pPr>
      <w:r>
        <w:t>Приложение: выписка о движении денежных средств по счету N _______, N _________.</w:t>
      </w:r>
    </w:p>
    <w:p w:rsidR="00BE4D95" w:rsidRDefault="00BE4D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3458"/>
      </w:tblGrid>
      <w:tr w:rsidR="00BE4D95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  <w:r>
              <w:t>Инициалы, фамилия, должность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  <w:jc w:val="center"/>
            </w:pPr>
            <w:r>
              <w:t>М.П. (при наличии)</w:t>
            </w:r>
          </w:p>
        </w:tc>
      </w:tr>
      <w:tr w:rsidR="00BE4D95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</w:tr>
      <w:tr w:rsidR="00BE4D95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D95" w:rsidRDefault="00BE4D95">
            <w:pPr>
              <w:pStyle w:val="ConsPlusNormal"/>
            </w:pPr>
            <w:r>
              <w:t>Дата формирования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E4D95" w:rsidRDefault="00BE4D95">
            <w:pPr>
              <w:pStyle w:val="ConsPlusNormal"/>
            </w:pPr>
          </w:p>
        </w:tc>
      </w:tr>
    </w:tbl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right"/>
        <w:outlineLvl w:val="0"/>
      </w:pPr>
      <w:r>
        <w:t>Приложение 2</w:t>
      </w:r>
    </w:p>
    <w:p w:rsidR="00BE4D95" w:rsidRDefault="00BE4D95">
      <w:pPr>
        <w:pStyle w:val="ConsPlusNormal"/>
        <w:jc w:val="right"/>
      </w:pPr>
      <w:r>
        <w:t>к Указанию Банка России</w:t>
      </w:r>
    </w:p>
    <w:p w:rsidR="00BE4D95" w:rsidRDefault="00BE4D95">
      <w:pPr>
        <w:pStyle w:val="ConsPlusNormal"/>
        <w:jc w:val="right"/>
      </w:pPr>
      <w:r>
        <w:t>от 14 апреля 2020 года N 5440-У</w:t>
      </w:r>
    </w:p>
    <w:p w:rsidR="00BE4D95" w:rsidRDefault="00BE4D95">
      <w:pPr>
        <w:pStyle w:val="ConsPlusNormal"/>
        <w:jc w:val="right"/>
      </w:pPr>
      <w:r>
        <w:lastRenderedPageBreak/>
        <w:t>"О порядке предоставлении</w:t>
      </w:r>
    </w:p>
    <w:p w:rsidR="00BE4D95" w:rsidRDefault="00BE4D95">
      <w:pPr>
        <w:pStyle w:val="ConsPlusNormal"/>
        <w:jc w:val="right"/>
      </w:pPr>
      <w:r>
        <w:t>кредитными организациями</w:t>
      </w:r>
    </w:p>
    <w:p w:rsidR="00BE4D95" w:rsidRDefault="00BE4D95">
      <w:pPr>
        <w:pStyle w:val="ConsPlusNormal"/>
        <w:jc w:val="right"/>
      </w:pPr>
      <w:r>
        <w:t xml:space="preserve">и </w:t>
      </w:r>
      <w:proofErr w:type="spellStart"/>
      <w:r>
        <w:t>некредитными</w:t>
      </w:r>
      <w:proofErr w:type="spellEnd"/>
      <w:r>
        <w:t xml:space="preserve"> финансовыми</w:t>
      </w:r>
    </w:p>
    <w:p w:rsidR="00BE4D95" w:rsidRDefault="00BE4D95">
      <w:pPr>
        <w:pStyle w:val="ConsPlusNormal"/>
        <w:jc w:val="right"/>
      </w:pPr>
      <w:r>
        <w:t>организациями гражданам сведений</w:t>
      </w:r>
    </w:p>
    <w:p w:rsidR="00BE4D95" w:rsidRDefault="00BE4D95">
      <w:pPr>
        <w:pStyle w:val="ConsPlusNormal"/>
        <w:jc w:val="right"/>
      </w:pPr>
      <w:r>
        <w:t>о наличии счетов и иной информации,</w:t>
      </w:r>
    </w:p>
    <w:p w:rsidR="00BE4D95" w:rsidRDefault="00BE4D95">
      <w:pPr>
        <w:pStyle w:val="ConsPlusNormal"/>
        <w:jc w:val="right"/>
      </w:pPr>
      <w:r>
        <w:t>необходимой для представления</w:t>
      </w:r>
    </w:p>
    <w:p w:rsidR="00BE4D95" w:rsidRDefault="00BE4D95">
      <w:pPr>
        <w:pStyle w:val="ConsPlusNormal"/>
        <w:jc w:val="right"/>
      </w:pPr>
      <w:r>
        <w:t>гражданами сведений о доходах,</w:t>
      </w:r>
    </w:p>
    <w:p w:rsidR="00BE4D95" w:rsidRDefault="00BE4D95">
      <w:pPr>
        <w:pStyle w:val="ConsPlusNormal"/>
        <w:jc w:val="right"/>
      </w:pPr>
      <w:r>
        <w:t>расходах, об имуществе</w:t>
      </w:r>
    </w:p>
    <w:p w:rsidR="00BE4D95" w:rsidRDefault="00BE4D95">
      <w:pPr>
        <w:pStyle w:val="ConsPlusNormal"/>
        <w:jc w:val="right"/>
      </w:pPr>
      <w:r>
        <w:t>и обязательствах имущественного</w:t>
      </w:r>
    </w:p>
    <w:p w:rsidR="00BE4D95" w:rsidRDefault="00BE4D95">
      <w:pPr>
        <w:pStyle w:val="ConsPlusNormal"/>
        <w:jc w:val="right"/>
      </w:pPr>
      <w:r>
        <w:t>характера, о единой форме</w:t>
      </w:r>
    </w:p>
    <w:p w:rsidR="00BE4D95" w:rsidRDefault="00BE4D95">
      <w:pPr>
        <w:pStyle w:val="ConsPlusNormal"/>
        <w:jc w:val="right"/>
      </w:pPr>
      <w:r>
        <w:t>предоставления сведений</w:t>
      </w:r>
    </w:p>
    <w:p w:rsidR="00BE4D95" w:rsidRDefault="00BE4D95">
      <w:pPr>
        <w:pStyle w:val="ConsPlusNormal"/>
        <w:jc w:val="right"/>
      </w:pPr>
      <w:r>
        <w:t>и порядке ее заполнения"</w:t>
      </w: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Title"/>
        <w:jc w:val="center"/>
      </w:pPr>
      <w:bookmarkStart w:id="43" w:name="P238"/>
      <w:bookmarkEnd w:id="43"/>
      <w:r>
        <w:t>ПОРЯДОК</w:t>
      </w:r>
    </w:p>
    <w:p w:rsidR="00BE4D95" w:rsidRDefault="00BE4D95">
      <w:pPr>
        <w:pStyle w:val="ConsPlusTitle"/>
        <w:jc w:val="center"/>
      </w:pPr>
      <w:r>
        <w:t>ЗАПОЛНЕНИЯ КРЕДИТНЫМИ ОРГАНИЗАЦИЯМИ И НЕКРЕДИТНЫМИ</w:t>
      </w:r>
    </w:p>
    <w:p w:rsidR="00BE4D95" w:rsidRDefault="00BE4D95">
      <w:pPr>
        <w:pStyle w:val="ConsPlusTitle"/>
        <w:jc w:val="center"/>
      </w:pPr>
      <w:r>
        <w:t>ФИНАНСОВЫМИ ОРГАНИЗАЦИЯМИ ЕДИНОЙ ФОРМЫ СВЕДЕНИЙ</w:t>
      </w:r>
    </w:p>
    <w:p w:rsidR="00BE4D95" w:rsidRDefault="00BE4D95">
      <w:pPr>
        <w:pStyle w:val="ConsPlusTitle"/>
        <w:jc w:val="center"/>
      </w:pPr>
      <w:r>
        <w:t>О НАЛИЧИИ СЧЕТОВ И ИНОЙ ИНФОРМАЦИИ, НЕОБХОДИМОЙ ГРАЖДАНАМ</w:t>
      </w:r>
    </w:p>
    <w:p w:rsidR="00BE4D95" w:rsidRDefault="00BE4D95">
      <w:pPr>
        <w:pStyle w:val="ConsPlusTitle"/>
        <w:jc w:val="center"/>
      </w:pPr>
      <w:r>
        <w:t>ДЛЯ ПРЕДСТАВЛЕНИЯ СВЕДЕНИЙ О ДОХОДАХ, РАСХОДАХ,</w:t>
      </w:r>
    </w:p>
    <w:p w:rsidR="00BE4D95" w:rsidRDefault="00BE4D9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ind w:firstLine="540"/>
        <w:jc w:val="both"/>
      </w:pPr>
      <w:r>
        <w:t xml:space="preserve">1. В </w:t>
      </w:r>
      <w:hyperlink w:anchor="P59" w:history="1">
        <w:r>
          <w:rPr>
            <w:color w:val="0000FF"/>
          </w:rPr>
          <w:t>Сведениях</w:t>
        </w:r>
      </w:hyperlink>
      <w:r>
        <w:t xml:space="preserve"> отражается информация по всем структурным подразделениям (филиалам) организации.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>2. Информация отражается в каждой графе соответствующего раздела, подраздела, если иное не определено настоящим Порядком. При отсутствии соответствующей информации проставляется прочерк.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>3. Сведения об имуществе, принадлежащем на праве собственности, сведения о счетах в кредитных организациях, об обязательствах имущественного характера указываются по состоянию на отчетную дату, которая сообщается гражданином (его представителем).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>Сведения о доходах указываются за календарный год, предшествующий дате обращения гражданина (его представителя).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4. Суммы (размер) денежных средств, выраженные в иностранной валюте, указываются в рублях по официальному курсу иностранной валюты по отношению к рублю, установленному Банком России в соответствии с </w:t>
      </w:r>
      <w:hyperlink r:id="rId6" w:history="1">
        <w:r>
          <w:rPr>
            <w:color w:val="0000FF"/>
          </w:rPr>
          <w:t>пунктом 15 статьи 4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2019, N 29, ст. 3857) (далее - курс Банка России), на отчетную дату, если иное не установлено настоящим </w:t>
      </w:r>
      <w:r>
        <w:lastRenderedPageBreak/>
        <w:t>Порядком.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5. В </w:t>
      </w:r>
      <w:hyperlink w:anchor="P59" w:history="1">
        <w:r>
          <w:rPr>
            <w:color w:val="0000FF"/>
          </w:rPr>
          <w:t>Сведениях</w:t>
        </w:r>
      </w:hyperlink>
      <w:r>
        <w:t xml:space="preserve"> указываются: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>наименование и место нахождения организации;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>телефон организации (при наличии), а также ее сайт в информационно-телекоммуникационной сети "Интернет" (при наличии);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фамилия, имя, отчество (последнее - при наличии) гражданина, в отношении которого предоставляются </w:t>
      </w:r>
      <w:hyperlink w:anchor="P59" w:history="1">
        <w:r>
          <w:rPr>
            <w:color w:val="0000FF"/>
          </w:rPr>
          <w:t>Сведения</w:t>
        </w:r>
      </w:hyperlink>
      <w:r>
        <w:t>;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>вид и реквизиты документа, удостоверяющего личность: серия и номер документа, дата его выдачи, наименование органа, выдавшего документ, и код подразделения (при наличии).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6. В качестве отчетной даты, на которую предоставляются </w:t>
      </w:r>
      <w:hyperlink w:anchor="P59" w:history="1">
        <w:r>
          <w:rPr>
            <w:color w:val="0000FF"/>
          </w:rPr>
          <w:t>Сведения</w:t>
        </w:r>
      </w:hyperlink>
      <w:r>
        <w:t xml:space="preserve">, в соответствии с представленной гражданином информацией указывается 31 декабря, первое число месяца. Отчетной датой может быть иное число месяца, если </w:t>
      </w:r>
      <w:hyperlink w:anchor="P59" w:history="1">
        <w:r>
          <w:rPr>
            <w:color w:val="0000FF"/>
          </w:rPr>
          <w:t>Сведения</w:t>
        </w:r>
      </w:hyperlink>
      <w:r>
        <w:t xml:space="preserve"> запрашиваются для заполнения сведений о доходах, об имуществе и обязательствах имущественного характера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соответствии с </w:t>
      </w:r>
      <w:hyperlink r:id="rId7" w:history="1">
        <w:r>
          <w:rPr>
            <w:color w:val="0000FF"/>
          </w:rPr>
          <w:t>пунктом 10.3 статьи 19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2017, N 18, ст. 2675).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>7. В случае указания в качестве отчетной даты 31 декабря отчетным периодом является календарный год, на который приходится указанная дата.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>В случае указания в качестве отчетной даты первого или иного числа месяца отчетным периодом является предшествующий календарный год.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8. В </w:t>
      </w:r>
      <w:hyperlink w:anchor="P87" w:history="1">
        <w:r>
          <w:rPr>
            <w:color w:val="0000FF"/>
          </w:rPr>
          <w:t>разделе 1</w:t>
        </w:r>
      </w:hyperlink>
      <w:r>
        <w:t xml:space="preserve"> указываются сведения о банковских счетах (в том числе счетах в драгоценных металлах), счетах по вкладу гражданина (далее - счета), имеющихся на отчетную дату, а также закрытых счетах, по которым в отчетном периоде был получен доход.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90" w:history="1">
        <w:r>
          <w:rPr>
            <w:color w:val="0000FF"/>
          </w:rPr>
          <w:t>графе</w:t>
        </w:r>
      </w:hyperlink>
      <w:r>
        <w:t xml:space="preserve"> "Номер счета" указываются номера счетов, в том числе номера счетов </w:t>
      </w:r>
      <w:proofErr w:type="spellStart"/>
      <w:r>
        <w:t>эскроу</w:t>
      </w:r>
      <w:proofErr w:type="spellEnd"/>
      <w:r>
        <w:t>, счетов в драгоценных металлах, номинальных счетов.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91" w:history="1">
        <w:r>
          <w:rPr>
            <w:color w:val="0000FF"/>
          </w:rPr>
          <w:t>графе</w:t>
        </w:r>
      </w:hyperlink>
      <w:r>
        <w:t xml:space="preserve"> "Вид счета" указываются виды счетов в соответствии с </w:t>
      </w:r>
      <w:hyperlink r:id="rId8" w:history="1">
        <w:r>
          <w:rPr>
            <w:color w:val="0000FF"/>
          </w:rPr>
          <w:t>частью второй</w:t>
        </w:r>
      </w:hyperlink>
      <w:r>
        <w:t xml:space="preserve"> Гражданского кодекса Российской Федерации (Собрание </w:t>
      </w:r>
      <w:r>
        <w:lastRenderedPageBreak/>
        <w:t xml:space="preserve">законодательства Российской Федерации, 1996, N 5, ст. 410; 2019, N 52, ст. 7807), иными федеральными законами, </w:t>
      </w:r>
      <w:hyperlink r:id="rId9" w:history="1">
        <w:r>
          <w:rPr>
            <w:color w:val="0000FF"/>
          </w:rPr>
          <w:t>Инструкцией</w:t>
        </w:r>
      </w:hyperlink>
      <w:r>
        <w:t xml:space="preserve"> Банка России от 30 мая 2014 года N 153-И "Об открытии и закрытии банковских счетов, счетов по вкладам (депозитам), депозитных счетов", зарегистрированной Министерством юстиции Российской Федерации 19 июня 2014 года N 32813, 14 февраля 2017 года N 45638, 29 января 2019 года N 53610. По номинальным счетам указываются также наличие бенефициара и его фамилия, имя, отчество (последнее - при наличии). В данной </w:t>
      </w:r>
      <w:hyperlink w:anchor="P91" w:history="1">
        <w:r>
          <w:rPr>
            <w:color w:val="0000FF"/>
          </w:rPr>
          <w:t>графе</w:t>
        </w:r>
      </w:hyperlink>
      <w:r>
        <w:t xml:space="preserve"> может указываться иная дополнительная информация, связанная с идентификацией счета.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92" w:history="1">
        <w:r>
          <w:rPr>
            <w:color w:val="0000FF"/>
          </w:rPr>
          <w:t>графе</w:t>
        </w:r>
      </w:hyperlink>
      <w:r>
        <w:t xml:space="preserve"> "Валюта счета" указывается валюта счета по банковским счетам, счетам по вкладам; по счету в драгоценных металлах указывается учитываемый на счете драгоценный металл.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93" w:history="1">
        <w:r>
          <w:rPr>
            <w:color w:val="0000FF"/>
          </w:rPr>
          <w:t>графе</w:t>
        </w:r>
      </w:hyperlink>
      <w:r>
        <w:t xml:space="preserve"> "Дата открытия/закрытия счета" указывается дата открытия счета. Дата закрытия счета указывается, если в отчетный период счет был закрыт.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94" w:history="1">
        <w:r>
          <w:rPr>
            <w:color w:val="0000FF"/>
          </w:rPr>
          <w:t>графе</w:t>
        </w:r>
      </w:hyperlink>
      <w:r>
        <w:t xml:space="preserve"> "Остаток денежных средств на счете на отчетную дату (руб.)" указывается остаток денежных средств на счете на отчетную дату в рублях; 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дату, установленных Банком России в соответствии с </w:t>
      </w:r>
      <w:hyperlink r:id="rId10" w:history="1">
        <w:r>
          <w:rPr>
            <w:color w:val="0000FF"/>
          </w:rPr>
          <w:t>Указанием</w:t>
        </w:r>
      </w:hyperlink>
      <w:r>
        <w:t xml:space="preserve"> Банка России от 28 мая 2003 года N 1283-У "О порядке установления Банком России учетных цен на аффинированные драгоценные металлы", зарегистрированным Министерством юстиции Российской Федерации 19 июня 2003 года N 4759, 22 апреля 2008 года N 11567, 17 января 2012 года N 22926 (далее - Указание Банка России N 1283-У).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95" w:history="1">
        <w:r>
          <w:rPr>
            <w:color w:val="0000FF"/>
          </w:rPr>
          <w:t>графе</w:t>
        </w:r>
      </w:hyperlink>
      <w:r>
        <w:t xml:space="preserve"> "Сумма поступивших на счет денежных средств за отчетный период (руб.)" указывается сумма поступивших на счет денежных средств за отчетный период в рублях; по счету в драгоценных металлах данная </w:t>
      </w:r>
      <w:hyperlink w:anchor="P95" w:history="1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96" w:history="1">
        <w:r>
          <w:rPr>
            <w:color w:val="0000FF"/>
          </w:rPr>
          <w:t>графе</w:t>
        </w:r>
      </w:hyperlink>
      <w:r>
        <w:t xml:space="preserve"> "Доход, выплаченный по счету за отчетный период (руб.)" указывается доход, выплаченный по счету за отчетный период, в рублях (в случае если доход получен в иностранной валюте, доход указывается в рублях по курсу Банка России на дату получения дохода). Доход, выплаченный по счету в драгоценном металле за отчетный период, указывается в данной </w:t>
      </w:r>
      <w:hyperlink w:anchor="P96" w:history="1">
        <w:r>
          <w:rPr>
            <w:color w:val="0000FF"/>
          </w:rPr>
          <w:t>графе</w:t>
        </w:r>
      </w:hyperlink>
      <w:r>
        <w:t xml:space="preserve"> в рублях исходя из установленных Банком России в соответствии с </w:t>
      </w:r>
      <w:hyperlink r:id="rId11" w:history="1">
        <w:r>
          <w:rPr>
            <w:color w:val="0000FF"/>
          </w:rPr>
          <w:t>Указанием</w:t>
        </w:r>
      </w:hyperlink>
      <w:r>
        <w:t xml:space="preserve"> Банка России N 1283-У учетных цен на аффинированные драгоценные металлы на дату получения дохода.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9. В </w:t>
      </w:r>
      <w:hyperlink w:anchor="P115" w:history="1">
        <w:r>
          <w:rPr>
            <w:color w:val="0000FF"/>
          </w:rPr>
          <w:t>разделе 2</w:t>
        </w:r>
      </w:hyperlink>
      <w:r>
        <w:t xml:space="preserve"> отражаются сведения о ценных бумагах, собственником которых является гражданин, в отношении которого организацией предоставляются </w:t>
      </w:r>
      <w:hyperlink w:anchor="P59" w:history="1">
        <w:r>
          <w:rPr>
            <w:color w:val="0000FF"/>
          </w:rPr>
          <w:t>Сведения</w:t>
        </w:r>
      </w:hyperlink>
      <w:r>
        <w:t xml:space="preserve">, в том числе приобретенные в рамках договора на брокерское обслуживание и (или) договора доверительного управления ценными бумагами (включая договоры, которые предусматривают открытие и ведение </w:t>
      </w:r>
      <w:r>
        <w:lastRenderedPageBreak/>
        <w:t>индивидуального инвестиционного счета).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10. В </w:t>
      </w:r>
      <w:hyperlink w:anchor="P117" w:history="1">
        <w:r>
          <w:rPr>
            <w:color w:val="0000FF"/>
          </w:rPr>
          <w:t>подразделе 2.1 раздела 2</w:t>
        </w:r>
      </w:hyperlink>
      <w:r>
        <w:t xml:space="preserve"> отражается следующая информация.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20" w:history="1">
        <w:r>
          <w:rPr>
            <w:color w:val="0000FF"/>
          </w:rPr>
          <w:t>графе</w:t>
        </w:r>
      </w:hyperlink>
      <w:r>
        <w:t xml:space="preserve"> "Наименование эмитента" указывается наименование эмитента акций.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21" w:history="1">
        <w:r>
          <w:rPr>
            <w:color w:val="0000FF"/>
          </w:rPr>
          <w:t>графе</w:t>
        </w:r>
      </w:hyperlink>
      <w:r>
        <w:t xml:space="preserve"> "Место нахождения" указывается место нахождения эмитента акций согласно </w:t>
      </w:r>
      <w:proofErr w:type="gramStart"/>
      <w:r>
        <w:t>записи</w:t>
      </w:r>
      <w:proofErr w:type="gramEnd"/>
      <w:r>
        <w:t xml:space="preserve"> об адресе организации в Едином государственном реестре юридических лиц.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22" w:history="1">
        <w:r>
          <w:rPr>
            <w:color w:val="0000FF"/>
          </w:rPr>
          <w:t>графе</w:t>
        </w:r>
      </w:hyperlink>
      <w:r>
        <w:t xml:space="preserve"> "Уставный капитал (руб.)" указывается размер уставного капитала эмитента акций в рублях.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23" w:history="1">
        <w:r>
          <w:rPr>
            <w:color w:val="0000FF"/>
          </w:rPr>
          <w:t>графе</w:t>
        </w:r>
      </w:hyperlink>
      <w:r>
        <w:t xml:space="preserve"> "Доля участия" указывается доля участия гражданина в процентах в уставном капитале эмитента акций, а также (через запятую) номинальная стоимость и количество акций.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24" w:history="1">
        <w:r>
          <w:rPr>
            <w:color w:val="0000FF"/>
          </w:rPr>
          <w:t>графе</w:t>
        </w:r>
      </w:hyperlink>
      <w:r>
        <w:t xml:space="preserve"> "Основание приобретения" указываются наименование и реквизиты документа, являющегося основанием для возникновения права собственности на акции.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11. В </w:t>
      </w:r>
      <w:hyperlink w:anchor="P132" w:history="1">
        <w:r>
          <w:rPr>
            <w:color w:val="0000FF"/>
          </w:rPr>
          <w:t>подразделе 2.2 раздела 2</w:t>
        </w:r>
      </w:hyperlink>
      <w:r>
        <w:t xml:space="preserve"> отражается следующая информация.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35" w:history="1">
        <w:r>
          <w:rPr>
            <w:color w:val="0000FF"/>
          </w:rPr>
          <w:t>графе</w:t>
        </w:r>
      </w:hyperlink>
      <w:r>
        <w:t xml:space="preserve"> "Вид и наименование ценной бумаги" указываются вид, категория (тип) и наименование ценной бумаги.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36" w:history="1">
        <w:r>
          <w:rPr>
            <w:color w:val="0000FF"/>
          </w:rPr>
          <w:t>графе</w:t>
        </w:r>
      </w:hyperlink>
      <w:r>
        <w:t xml:space="preserve"> "Лицо, выдавшее (выпустившее) ценную бумагу" указывается наименование лица, выдавшего (выпустившего) ценную бумагу.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37" w:history="1">
        <w:r>
          <w:rPr>
            <w:color w:val="0000FF"/>
          </w:rPr>
          <w:t>графе</w:t>
        </w:r>
      </w:hyperlink>
      <w:r>
        <w:t xml:space="preserve"> "Номинальная величина обязательства (руб.)" указывается номинальная стоимость одной ценной бумаги на отчетную дату в рублях. По инвестиционным паям паевых инвестиционных фондов, депозитарным распискам, закладным, ипотечным сертификатам участия, сберегательным сертификатам данная </w:t>
      </w:r>
      <w:hyperlink w:anchor="P137" w:history="1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38" w:history="1">
        <w:r>
          <w:rPr>
            <w:color w:val="0000FF"/>
          </w:rPr>
          <w:t>графе</w:t>
        </w:r>
      </w:hyperlink>
      <w:r>
        <w:t xml:space="preserve"> "Общее количество" указывается общее количество ценных бумаг в штуках.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39" w:history="1">
        <w:r>
          <w:rPr>
            <w:color w:val="0000FF"/>
          </w:rPr>
          <w:t>графе</w:t>
        </w:r>
      </w:hyperlink>
      <w:r>
        <w:t xml:space="preserve"> "Общая стоимость (руб.)" указывается общая стоимость ценных бумаг соответствующего вида в рублях исходя из стоимости их приобретения (в случае если ее нельзя определить - исходя из рыночной стоимости или номинальной стоимости).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12. В </w:t>
      </w:r>
      <w:hyperlink w:anchor="P115" w:history="1">
        <w:r>
          <w:rPr>
            <w:color w:val="0000FF"/>
          </w:rPr>
          <w:t>разделе 2</w:t>
        </w:r>
      </w:hyperlink>
      <w:r>
        <w:t xml:space="preserve"> суммарная декларированная стоимость ценных бумаг определяется как сумма стоимости всех акций, указанных в </w:t>
      </w:r>
      <w:hyperlink w:anchor="P117" w:history="1">
        <w:r>
          <w:rPr>
            <w:color w:val="0000FF"/>
          </w:rPr>
          <w:t>подразделе 2.1</w:t>
        </w:r>
      </w:hyperlink>
      <w:r>
        <w:t xml:space="preserve">, и </w:t>
      </w:r>
      <w:r>
        <w:lastRenderedPageBreak/>
        <w:t xml:space="preserve">общей стоимости всех ценных бумаг, указанных в </w:t>
      </w:r>
      <w:hyperlink w:anchor="P132" w:history="1">
        <w:r>
          <w:rPr>
            <w:color w:val="0000FF"/>
          </w:rPr>
          <w:t>подразделе 2.2</w:t>
        </w:r>
      </w:hyperlink>
      <w:r>
        <w:t>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13. В </w:t>
      </w:r>
      <w:hyperlink w:anchor="P148" w:history="1">
        <w:r>
          <w:rPr>
            <w:color w:val="0000FF"/>
          </w:rPr>
          <w:t>подразделе 2.3 раздела 2</w:t>
        </w:r>
      </w:hyperlink>
      <w:r>
        <w:t xml:space="preserve"> указывается доход.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51" w:history="1">
        <w:r>
          <w:rPr>
            <w:color w:val="0000FF"/>
          </w:rPr>
          <w:t>графе</w:t>
        </w:r>
      </w:hyperlink>
      <w:r>
        <w:t xml:space="preserve"> "Вид дохода" указывается вид дохода (дивиденды, доход от операций с ценными бумагами и так далее).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52" w:history="1">
        <w:r>
          <w:rPr>
            <w:color w:val="0000FF"/>
          </w:rPr>
          <w:t>графе</w:t>
        </w:r>
      </w:hyperlink>
      <w:r>
        <w:t xml:space="preserve"> "Величина дохода (руб.)" указывается сумма доходов от ценных бумаг в рублях (в случае если доход получен в иностранной валюте, сумма указывается в рублях по курсу Банка России на дату получения дохода). В данной </w:t>
      </w:r>
      <w:hyperlink w:anchor="P152" w:history="1">
        <w:r>
          <w:rPr>
            <w:color w:val="0000FF"/>
          </w:rPr>
          <w:t>графе</w:t>
        </w:r>
      </w:hyperlink>
      <w:r>
        <w:t xml:space="preserve"> доходы от операций с ценными бумагами отражаются в величине суммы финансового результата.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14. В </w:t>
      </w:r>
      <w:hyperlink w:anchor="P115" w:history="1">
        <w:r>
          <w:rPr>
            <w:color w:val="0000FF"/>
          </w:rPr>
          <w:t>разделе 2</w:t>
        </w:r>
      </w:hyperlink>
      <w:r>
        <w:t xml:space="preserve"> сумма доходов от ценных бумаг определяется как сумма всех доходов от ценных бумаг, в том числе от операций с ними.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15. В </w:t>
      </w:r>
      <w:hyperlink w:anchor="P159" w:history="1">
        <w:r>
          <w:rPr>
            <w:color w:val="0000FF"/>
          </w:rPr>
          <w:t>разделе 3</w:t>
        </w:r>
      </w:hyperlink>
      <w:r>
        <w:t xml:space="preserve"> отражаются сведения о доходах гражданина, формируемых в результате деятельности организации (не указанные в </w:t>
      </w:r>
      <w:hyperlink w:anchor="P87" w:history="1">
        <w:r>
          <w:rPr>
            <w:color w:val="0000FF"/>
          </w:rPr>
          <w:t>разделах 1</w:t>
        </w:r>
      </w:hyperlink>
      <w:r>
        <w:t xml:space="preserve"> и </w:t>
      </w:r>
      <w:hyperlink w:anchor="P115" w:history="1">
        <w:r>
          <w:rPr>
            <w:color w:val="0000FF"/>
          </w:rPr>
          <w:t>2</w:t>
        </w:r>
      </w:hyperlink>
      <w:r>
        <w:t>), и могут указываться известные организации доходы, не формируемые ею (в результате ее деятельности), в том числе по данным, предоставляемым отправителем денежных средств.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62" w:history="1">
        <w:r>
          <w:rPr>
            <w:color w:val="0000FF"/>
          </w:rPr>
          <w:t>графе</w:t>
        </w:r>
      </w:hyperlink>
      <w:r>
        <w:t xml:space="preserve"> "Вид дохода" указывается вид дохода (пенсия, доплата к пенсии, пособие, стипендия и так далее).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графе</w:t>
        </w:r>
      </w:hyperlink>
      <w:r>
        <w:t xml:space="preserve"> "Величина дохода (руб.)" указывается сумма дохода в рублях (в случае если доход получен в иностранной валюте, сумма указывается в рублях по курсу Банка России на дату получения дохода).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16. В </w:t>
      </w:r>
      <w:hyperlink w:anchor="P159" w:history="1">
        <w:r>
          <w:rPr>
            <w:color w:val="0000FF"/>
          </w:rPr>
          <w:t>разделе 3</w:t>
        </w:r>
      </w:hyperlink>
      <w:r>
        <w:t xml:space="preserve"> сумма иных доходов определяется как сумма всех доходов, указанных в данном </w:t>
      </w:r>
      <w:hyperlink w:anchor="P159" w:history="1">
        <w:r>
          <w:rPr>
            <w:color w:val="0000FF"/>
          </w:rPr>
          <w:t>разделе</w:t>
        </w:r>
      </w:hyperlink>
      <w:r>
        <w:t>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17. В </w:t>
      </w:r>
      <w:hyperlink w:anchor="P170" w:history="1">
        <w:r>
          <w:rPr>
            <w:color w:val="0000FF"/>
          </w:rPr>
          <w:t>разделе 4</w:t>
        </w:r>
      </w:hyperlink>
      <w:r>
        <w:t xml:space="preserve"> отражаются сведения о срочных обязательствах финансового характера, имеющихся на отчетную дату, на сумму, равную или превышающую 500 000 рублей, или на сумму в иностранной валюте, равную или превышающую сумму, эквивалентную сумме 500 000 рублей по курсу Банка России на отчетную дату, стороной в которых является гражданин, в отношении которого предоставляются </w:t>
      </w:r>
      <w:hyperlink w:anchor="P59" w:history="1">
        <w:r>
          <w:rPr>
            <w:color w:val="0000FF"/>
          </w:rPr>
          <w:t>Сведения</w:t>
        </w:r>
      </w:hyperlink>
      <w:r>
        <w:t>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18. В </w:t>
      </w:r>
      <w:hyperlink w:anchor="P172" w:history="1">
        <w:r>
          <w:rPr>
            <w:color w:val="0000FF"/>
          </w:rPr>
          <w:t>подразделе 4.1 раздела 4</w:t>
        </w:r>
      </w:hyperlink>
      <w:r>
        <w:t xml:space="preserve"> отражается следующая информация.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75" w:history="1">
        <w:r>
          <w:rPr>
            <w:color w:val="0000FF"/>
          </w:rPr>
          <w:t>графе</w:t>
        </w:r>
      </w:hyperlink>
      <w:r>
        <w:t xml:space="preserve"> "Содержание обязательства" указывается существо обязательства (заем, кредит и другие).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76" w:history="1">
        <w:r>
          <w:rPr>
            <w:color w:val="0000FF"/>
          </w:rPr>
          <w:t>графе</w:t>
        </w:r>
      </w:hyperlink>
      <w:r>
        <w:t xml:space="preserve"> "Кредитор" указывается наименование организации.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lastRenderedPageBreak/>
        <w:t xml:space="preserve">В </w:t>
      </w:r>
      <w:hyperlink w:anchor="P177" w:history="1">
        <w:r>
          <w:rPr>
            <w:color w:val="0000FF"/>
          </w:rPr>
          <w:t>графе</w:t>
        </w:r>
      </w:hyperlink>
      <w:r>
        <w:t xml:space="preserve"> "Основание возникновения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78" w:history="1">
        <w:r>
          <w:rPr>
            <w:color w:val="0000FF"/>
          </w:rPr>
          <w:t>графе</w:t>
        </w:r>
      </w:hyperlink>
      <w:r>
        <w:t xml:space="preserve"> "Сумма обязательства (руб.)" указывается сумма обязательства на отчетную дату в рублях. Сумма обязательства в данной </w:t>
      </w:r>
      <w:hyperlink w:anchor="P178" w:history="1">
        <w:r>
          <w:rPr>
            <w:color w:val="0000FF"/>
          </w:rPr>
          <w:t>графе</w:t>
        </w:r>
      </w:hyperlink>
      <w:r>
        <w:t xml:space="preserve"> определяется как сумма основного обязательства без суммы процентов.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79" w:history="1">
        <w:r>
          <w:rPr>
            <w:color w:val="0000FF"/>
          </w:rPr>
          <w:t>графе</w:t>
        </w:r>
      </w:hyperlink>
      <w:r>
        <w:t xml:space="preserve"> "Размер обязательства и начисленных процентов (руб.)" указывается сумма основного обязательства и начисленных процентов (в начисленные проценты не включаются суммы, являющиеся способами обеспечения обязательств по договору (в том числе неустойка).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80" w:history="1">
        <w:r>
          <w:rPr>
            <w:color w:val="0000FF"/>
          </w:rPr>
          <w:t>графе</w:t>
        </w:r>
      </w:hyperlink>
      <w:r>
        <w:t xml:space="preserve"> "Условия обязательства" указываются размер процентов годовых за пользование кредитом (займом), проценты годовые по иным срочным обязательствам финансового характера, а также заложенное в обеспечение обязательства имущество, выданные в обеспечение обязательства гарантии и поручительства.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19. В </w:t>
      </w:r>
      <w:hyperlink w:anchor="P189" w:history="1">
        <w:r>
          <w:rPr>
            <w:color w:val="0000FF"/>
          </w:rPr>
          <w:t>подразделе 4.2 раздела 4</w:t>
        </w:r>
      </w:hyperlink>
      <w:r>
        <w:t xml:space="preserve"> отражается следующая информация.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92" w:history="1">
        <w:r>
          <w:rPr>
            <w:color w:val="0000FF"/>
          </w:rPr>
          <w:t>графе</w:t>
        </w:r>
      </w:hyperlink>
      <w:r>
        <w:t xml:space="preserve"> "Содержание обязательства" указывается существо обязательства.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93" w:history="1">
        <w:r>
          <w:rPr>
            <w:color w:val="0000FF"/>
          </w:rPr>
          <w:t>графе</w:t>
        </w:r>
      </w:hyperlink>
      <w:r>
        <w:t xml:space="preserve"> "Должник" указывается наименование организации.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94" w:history="1">
        <w:r>
          <w:rPr>
            <w:color w:val="0000FF"/>
          </w:rPr>
          <w:t>графе</w:t>
        </w:r>
      </w:hyperlink>
      <w:r>
        <w:t xml:space="preserve"> "Основание возникновения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BE4D95" w:rsidRDefault="00BE4D95">
      <w:pPr>
        <w:pStyle w:val="ConsPlusNormal"/>
        <w:spacing w:before="280"/>
        <w:ind w:firstLine="540"/>
        <w:jc w:val="both"/>
      </w:pPr>
      <w:bookmarkStart w:id="44" w:name="_GoBack"/>
      <w:r>
        <w:t xml:space="preserve">В </w:t>
      </w:r>
      <w:hyperlink w:anchor="P195" w:history="1">
        <w:r>
          <w:rPr>
            <w:color w:val="0000FF"/>
          </w:rPr>
          <w:t>графе</w:t>
        </w:r>
      </w:hyperlink>
      <w:r>
        <w:t xml:space="preserve"> "Сумма обязательства (руб.)" указывается сумма обязательства на </w:t>
      </w:r>
      <w:bookmarkEnd w:id="44"/>
      <w:r>
        <w:t>отчетную дату в рублях.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 xml:space="preserve">В </w:t>
      </w:r>
      <w:hyperlink w:anchor="P196" w:history="1">
        <w:r>
          <w:rPr>
            <w:color w:val="0000FF"/>
          </w:rPr>
          <w:t>графе</w:t>
        </w:r>
      </w:hyperlink>
      <w:r>
        <w:t xml:space="preserve"> "Размер обязательства и начисленных процентов (руб.)" указывается сумма основного обязательства и начисленных процентов (в начисленные проценты не включаются суммы, являющиеся способами обеспечения обязательств по договору (в том числе неустойка). Под суммой обязательства понимается страховая сумма по договору: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>страхования жизни на случай смерти, дожития до определенного возраста или срока либо наступления иного события;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страховщика;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t>пенсионного страхования.</w:t>
      </w:r>
    </w:p>
    <w:p w:rsidR="00BE4D95" w:rsidRDefault="00BE4D95">
      <w:pPr>
        <w:pStyle w:val="ConsPlusNormal"/>
        <w:spacing w:before="280"/>
        <w:ind w:firstLine="540"/>
        <w:jc w:val="both"/>
      </w:pPr>
      <w:r>
        <w:lastRenderedPageBreak/>
        <w:t xml:space="preserve">В </w:t>
      </w:r>
      <w:hyperlink w:anchor="P197" w:history="1">
        <w:r>
          <w:rPr>
            <w:color w:val="0000FF"/>
          </w:rPr>
          <w:t>графе</w:t>
        </w:r>
      </w:hyperlink>
      <w:r>
        <w:t xml:space="preserve"> "Условия обязательства" указывается размер процентов годовых, подлежащих уплате организацией.</w:t>
      </w: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jc w:val="both"/>
      </w:pPr>
    </w:p>
    <w:p w:rsidR="00BE4D95" w:rsidRDefault="00BE4D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/>
    <w:sectPr w:rsidR="00B03BF0" w:rsidSect="00E56753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95"/>
    <w:rsid w:val="0095651D"/>
    <w:rsid w:val="00B03BF0"/>
    <w:rsid w:val="00B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22FDB-E1E4-45B8-8EE5-87B3E1C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D9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E4D9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E4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9C5676EEEF5FBBF7C1D4551F848EFB67055619C311BB84CDFD5E8D6B8BF7792718E551F5428157579495FE1N4E5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79C5676EEEF5FBBF7C1D4551F848EFB67F546C9A3E1BB84CDFD5E8D6B8BF778071D65C155F3D4123231E52E1464E9A7E1F73348AN9EC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79C5676EEEF5FBBF7C1D4551F848EFB67050619A381BB84CDFD5E8D6B8BF778071D6591D563616776C1F0EA7115D987B1F7133969F5440N8E5Q" TargetMode="External"/><Relationship Id="rId11" Type="http://schemas.openxmlformats.org/officeDocument/2006/relationships/hyperlink" Target="consultantplus://offline/ref=A879C5676EEEF5FBBF7C1D4551F848EFB4755269983A1BB84CDFD5E8D6B8BF7792718E551F5428157579495FE1N4E5Q" TargetMode="External"/><Relationship Id="rId5" Type="http://schemas.openxmlformats.org/officeDocument/2006/relationships/hyperlink" Target="consultantplus://offline/ref=A879C5676EEEF5FBBF7C1D4551F848EFB67050619A381BB84CDFD5E8D6B8BF778071D6501D563D4123231E52E1464E9A7E1F73348AN9ECQ" TargetMode="External"/><Relationship Id="rId10" Type="http://schemas.openxmlformats.org/officeDocument/2006/relationships/hyperlink" Target="consultantplus://offline/ref=A879C5676EEEF5FBBF7C1D4551F848EFB4755269983A1BB84CDFD5E8D6B8BF7792718E551F5428157579495FE1N4E5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879C5676EEEF5FBBF7C1D4551F848EFB67F55699D3E1BB84CDFD5E8D6B8BF7792718E551F5428157579495FE1N4E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2021-07-22T16:04:00Z</dcterms:created>
  <dcterms:modified xsi:type="dcterms:W3CDTF">2021-07-22T16:04:00Z</dcterms:modified>
</cp:coreProperties>
</file>