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10" w:rsidRPr="00D26810" w:rsidRDefault="00D26810" w:rsidP="00D26810">
      <w:pPr>
        <w:spacing w:before="390" w:after="540" w:line="312" w:lineRule="atLeast"/>
        <w:textAlignment w:val="baseline"/>
        <w:outlineLvl w:val="2"/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</w:pPr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О</w:t>
      </w:r>
      <w:r w:rsidRPr="00D26810"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  <w:t xml:space="preserve"> </w:t>
      </w:r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решениях</w:t>
      </w:r>
      <w:r w:rsidRPr="00D26810"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  <w:t xml:space="preserve"> </w:t>
      </w:r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по</w:t>
      </w:r>
      <w:r w:rsidRPr="00D26810"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  <w:t xml:space="preserve"> </w:t>
      </w:r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итогам</w:t>
      </w:r>
      <w:r w:rsidRPr="00D26810"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  <w:t xml:space="preserve"> </w:t>
      </w:r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заседания</w:t>
      </w:r>
      <w:r w:rsidRPr="00D26810"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  <w:t xml:space="preserve"> </w:t>
      </w:r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президиума</w:t>
      </w:r>
      <w:r w:rsidRPr="00D26810"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  <w:t xml:space="preserve"> </w:t>
      </w:r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Координационного</w:t>
      </w:r>
      <w:r w:rsidRPr="00D26810"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  <w:t xml:space="preserve"> </w:t>
      </w:r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совета</w:t>
      </w:r>
      <w:r w:rsidRPr="00D26810"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  <w:t xml:space="preserve"> </w:t>
      </w:r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при</w:t>
      </w:r>
      <w:r w:rsidRPr="00D26810"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  <w:t xml:space="preserve"> </w:t>
      </w:r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Правительстве</w:t>
      </w:r>
      <w:r w:rsidRPr="00D26810"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  <w:t xml:space="preserve"> </w:t>
      </w:r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по</w:t>
      </w:r>
      <w:r w:rsidRPr="00D26810"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  <w:t xml:space="preserve"> </w:t>
      </w:r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борьбе</w:t>
      </w:r>
      <w:r w:rsidRPr="00D26810"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  <w:t xml:space="preserve"> </w:t>
      </w:r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с</w:t>
      </w:r>
      <w:r w:rsidRPr="00D26810"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  <w:t xml:space="preserve"> </w:t>
      </w:r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распространением</w:t>
      </w:r>
      <w:r w:rsidRPr="00D26810"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  <w:t xml:space="preserve"> </w:t>
      </w:r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новой</w:t>
      </w:r>
      <w:r w:rsidRPr="00D26810"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  <w:t xml:space="preserve"> </w:t>
      </w:r>
      <w:proofErr w:type="spellStart"/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коронавирусной</w:t>
      </w:r>
      <w:proofErr w:type="spellEnd"/>
      <w:r w:rsidRPr="00D26810">
        <w:rPr>
          <w:rFonts w:ascii="Helvetica" w:eastAsia="Times New Roman" w:hAnsi="Helvetica" w:cs="Times New Roman"/>
          <w:b/>
          <w:bCs/>
          <w:color w:val="111111"/>
          <w:sz w:val="39"/>
          <w:szCs w:val="39"/>
          <w:lang w:eastAsia="ru-RU"/>
        </w:rPr>
        <w:t xml:space="preserve"> </w:t>
      </w:r>
      <w:r w:rsidRPr="00D26810">
        <w:rPr>
          <w:rFonts w:ascii="Calibri" w:eastAsia="Times New Roman" w:hAnsi="Calibri" w:cs="Calibri"/>
          <w:b/>
          <w:bCs/>
          <w:color w:val="111111"/>
          <w:sz w:val="39"/>
          <w:szCs w:val="39"/>
          <w:lang w:eastAsia="ru-RU"/>
        </w:rPr>
        <w:t>инфекции</w:t>
      </w:r>
    </w:p>
    <w:p w:rsidR="00D26810" w:rsidRPr="00D26810" w:rsidRDefault="00D26810" w:rsidP="00D26810">
      <w:pPr>
        <w:spacing w:after="0" w:line="270" w:lineRule="atLeast"/>
        <w:textAlignment w:val="baseline"/>
        <w:rPr>
          <w:rFonts w:ascii="Helvetica" w:eastAsia="Times New Roman" w:hAnsi="Helvetica" w:cs="Times New Roman"/>
          <w:color w:val="7B7B7B"/>
          <w:sz w:val="24"/>
          <w:szCs w:val="24"/>
          <w:lang w:eastAsia="ru-RU"/>
        </w:rPr>
      </w:pPr>
      <w:r w:rsidRPr="00D26810">
        <w:rPr>
          <w:rFonts w:ascii="Helvetica" w:eastAsia="Times New Roman" w:hAnsi="Helvetica" w:cs="Times New Roman"/>
          <w:color w:val="7B7B7B"/>
          <w:sz w:val="24"/>
          <w:szCs w:val="24"/>
          <w:bdr w:val="none" w:sz="0" w:space="0" w:color="auto" w:frame="1"/>
          <w:lang w:eastAsia="ru-RU"/>
        </w:rPr>
        <w:t xml:space="preserve">26 </w:t>
      </w:r>
      <w:r w:rsidRPr="00D26810">
        <w:rPr>
          <w:rFonts w:ascii="Calibri" w:eastAsia="Times New Roman" w:hAnsi="Calibri" w:cs="Calibri"/>
          <w:color w:val="7B7B7B"/>
          <w:sz w:val="24"/>
          <w:szCs w:val="24"/>
          <w:bdr w:val="none" w:sz="0" w:space="0" w:color="auto" w:frame="1"/>
          <w:lang w:eastAsia="ru-RU"/>
        </w:rPr>
        <w:t>мая</w:t>
      </w:r>
      <w:r w:rsidRPr="00D26810">
        <w:rPr>
          <w:rFonts w:ascii="Helvetica" w:eastAsia="Times New Roman" w:hAnsi="Helvetica" w:cs="Times New Roman"/>
          <w:color w:val="7B7B7B"/>
          <w:sz w:val="24"/>
          <w:szCs w:val="24"/>
          <w:bdr w:val="none" w:sz="0" w:space="0" w:color="auto" w:frame="1"/>
          <w:lang w:eastAsia="ru-RU"/>
        </w:rPr>
        <w:t xml:space="preserve"> 2020</w:t>
      </w:r>
      <w:r w:rsidRPr="00D26810">
        <w:rPr>
          <w:rFonts w:ascii="Helvetica" w:eastAsia="Times New Roman" w:hAnsi="Helvetica" w:cs="Times New Roman"/>
          <w:color w:val="7B7B7B"/>
          <w:sz w:val="24"/>
          <w:szCs w:val="24"/>
          <w:lang w:eastAsia="ru-RU"/>
        </w:rPr>
        <w:t> </w:t>
      </w:r>
      <w:r w:rsidRPr="00D26810">
        <w:rPr>
          <w:rFonts w:ascii="Helvetica" w:eastAsia="Times New Roman" w:hAnsi="Helvetica" w:cs="Times New Roman"/>
          <w:color w:val="7B7B7B"/>
          <w:sz w:val="24"/>
          <w:szCs w:val="24"/>
          <w:bdr w:val="none" w:sz="0" w:space="0" w:color="auto" w:frame="1"/>
          <w:lang w:eastAsia="ru-RU"/>
        </w:rPr>
        <w:t>23:30</w:t>
      </w:r>
    </w:p>
    <w:p w:rsidR="00D26810" w:rsidRPr="00D26810" w:rsidRDefault="00D26810" w:rsidP="00D2681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hyperlink r:id="rId5" w:tgtFrame="_blank" w:tooltip="COVID-19. Меры Правительства по борьбе с коронавирусной инфекцией и поддержке экономики" w:history="1">
        <w:r w:rsidRPr="00D26810">
          <w:rPr>
            <w:rFonts w:ascii="Arial" w:eastAsia="Times New Roman" w:hAnsi="Arial" w:cs="Arial"/>
            <w:color w:val="204E8A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COVID-19. Меры Правительства по борьбе с </w:t>
        </w:r>
        <w:proofErr w:type="spellStart"/>
        <w:r w:rsidRPr="00D26810">
          <w:rPr>
            <w:rFonts w:ascii="Arial" w:eastAsia="Times New Roman" w:hAnsi="Arial" w:cs="Arial"/>
            <w:color w:val="204E8A"/>
            <w:sz w:val="24"/>
            <w:szCs w:val="24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Pr="00D26810">
          <w:rPr>
            <w:rFonts w:ascii="Arial" w:eastAsia="Times New Roman" w:hAnsi="Arial" w:cs="Arial"/>
            <w:color w:val="204E8A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инфекцией и поддержке экономики</w:t>
        </w:r>
      </w:hyperlink>
    </w:p>
    <w:p w:rsidR="00D26810" w:rsidRPr="00D26810" w:rsidRDefault="00D26810" w:rsidP="00D26810">
      <w:pPr>
        <w:spacing w:after="0" w:line="240" w:lineRule="auto"/>
        <w:textAlignment w:val="baseline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bookmarkStart w:id="0" w:name="_GoBack"/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25 мая 2020 года Михаил </w:t>
      </w:r>
      <w:proofErr w:type="spellStart"/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Мишустин</w:t>
      </w:r>
      <w:proofErr w:type="spellEnd"/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провёл </w:t>
      </w:r>
      <w:hyperlink r:id="rId6" w:tgtFrame="_blank" w:history="1">
        <w:r w:rsidRPr="00D26810">
          <w:rPr>
            <w:rFonts w:ascii="Georgia" w:eastAsia="Times New Roman" w:hAnsi="Georgia" w:cs="Times New Roman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очередное заседание президиума Координационного совета при Правительстве Российской Федерации по борьбе с распространением новой </w:t>
        </w:r>
        <w:proofErr w:type="spellStart"/>
        <w:r w:rsidRPr="00D26810">
          <w:rPr>
            <w:rFonts w:ascii="Georgia" w:eastAsia="Times New Roman" w:hAnsi="Georgia" w:cs="Times New Roman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Pr="00D26810">
          <w:rPr>
            <w:rFonts w:ascii="Georgia" w:eastAsia="Times New Roman" w:hAnsi="Georgia" w:cs="Times New Roman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инфекции на территории Российской Федерации</w:t>
        </w:r>
      </w:hyperlink>
      <w:bookmarkEnd w:id="0"/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. По итогам приняты следующие решения и даны поручения:</w:t>
      </w:r>
    </w:p>
    <w:p w:rsidR="00D26810" w:rsidRPr="00D26810" w:rsidRDefault="00D26810" w:rsidP="00D26810">
      <w:pPr>
        <w:spacing w:after="0" w:line="240" w:lineRule="auto"/>
        <w:textAlignment w:val="baseline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D26810">
        <w:rPr>
          <w:rFonts w:ascii="Georgia" w:eastAsia="Times New Roman" w:hAnsi="Georgia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</w:t>
      </w:r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 </w:t>
      </w:r>
      <w:r w:rsidRPr="00D26810">
        <w:rPr>
          <w:rFonts w:ascii="Georgia" w:eastAsia="Times New Roman" w:hAnsi="Georgia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Высшим должностным лицам</w:t>
      </w:r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 </w:t>
      </w:r>
      <w:r w:rsidRPr="00D26810">
        <w:rPr>
          <w:rFonts w:ascii="Georgia" w:eastAsia="Times New Roman" w:hAnsi="Georgia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(руководителям высших исполнительных органов государственной власти) субъектов Российской Федерации </w:t>
      </w:r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обеспечить личный контроль за безусловным осуществлением выплат стимулирующего характера за выполнение особо важных работ медицинским и иным работникам, участвующим в оказании медицинской помощи гражданам, у которых выявлена новая </w:t>
      </w:r>
      <w:proofErr w:type="spellStart"/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коронавирусная</w:t>
      </w:r>
      <w:proofErr w:type="spellEnd"/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инфекция. О ходе осуществления указанных выплат еженедельно, начиная с 1 июня 2020 года, информировать Минздрав России и Казначейство России. </w:t>
      </w:r>
    </w:p>
    <w:p w:rsidR="00D26810" w:rsidRPr="00D26810" w:rsidRDefault="00D26810" w:rsidP="00D26810">
      <w:pPr>
        <w:spacing w:after="0" w:line="240" w:lineRule="auto"/>
        <w:textAlignment w:val="baseline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D26810">
        <w:rPr>
          <w:rFonts w:ascii="Georgia" w:eastAsia="Times New Roman" w:hAnsi="Georgia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 Минздраву России</w:t>
      </w:r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, Казначейству России обеспечить анализ предоставляемой во исполнение пункта 1 настоящего перечня поручений информации и по результатам еженедельно, начиная с 3 июня 2020 года, представлять сводный доклад в Правительство Российской Федерации.</w:t>
      </w:r>
    </w:p>
    <w:p w:rsidR="00D26810" w:rsidRPr="00D26810" w:rsidRDefault="00D26810" w:rsidP="00D26810">
      <w:pPr>
        <w:spacing w:after="0" w:line="240" w:lineRule="auto"/>
        <w:textAlignment w:val="baseline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D26810">
        <w:rPr>
          <w:rFonts w:ascii="Georgia" w:eastAsia="Times New Roman" w:hAnsi="Georgia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 Высшим должностным лицам (руководителям высших исполнительных органов государственной власти) субъектов Российской Федерации</w:t>
      </w:r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 при подготовке к открытию курортного сезона обеспечить безусловное соблюдение рекомендаций </w:t>
      </w:r>
      <w:proofErr w:type="spellStart"/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Роспотребнадзора</w:t>
      </w:r>
      <w:proofErr w:type="spellEnd"/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по последовательному снятию (смягчению) ограничений, введённых в связи с распространением новой </w:t>
      </w:r>
      <w:proofErr w:type="spellStart"/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коронавирусной</w:t>
      </w:r>
      <w:proofErr w:type="spellEnd"/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инфекции. </w:t>
      </w:r>
    </w:p>
    <w:p w:rsidR="00D26810" w:rsidRPr="00D26810" w:rsidRDefault="00D26810" w:rsidP="00D26810">
      <w:pPr>
        <w:spacing w:after="0" w:line="240" w:lineRule="auto"/>
        <w:textAlignment w:val="baseline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D26810">
        <w:rPr>
          <w:rFonts w:ascii="Georgia" w:eastAsia="Times New Roman" w:hAnsi="Georgia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 Росстату </w:t>
      </w:r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совместно с Минздравом России и ФНС России представить в Правительство Российской Федерации предложения по синхронизации собираемых данных по смертности населения, в том числе от новой </w:t>
      </w:r>
      <w:proofErr w:type="spellStart"/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коронавирусной</w:t>
      </w:r>
      <w:proofErr w:type="spellEnd"/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инфекции.</w:t>
      </w:r>
    </w:p>
    <w:p w:rsidR="00D26810" w:rsidRPr="00D26810" w:rsidRDefault="00D26810" w:rsidP="00D26810">
      <w:pPr>
        <w:spacing w:after="0" w:line="240" w:lineRule="auto"/>
        <w:textAlignment w:val="baseline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D2681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Срок – до 28 мая 2020 года.</w:t>
      </w:r>
    </w:p>
    <w:p w:rsidR="00FD3BFD" w:rsidRDefault="00FD3BFD"/>
    <w:sectPr w:rsidR="00FD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2FB"/>
    <w:multiLevelType w:val="multilevel"/>
    <w:tmpl w:val="0700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10"/>
    <w:rsid w:val="00D26810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A6952-550F-455B-9680-BA15A936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7290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628588029">
          <w:marLeft w:val="0"/>
          <w:marRight w:val="0"/>
          <w:marTop w:val="0"/>
          <w:marBottom w:val="0"/>
          <w:divBdr>
            <w:top w:val="single" w:sz="2" w:space="0" w:color="DCDCDC"/>
            <w:left w:val="single" w:sz="2" w:space="0" w:color="DCDCDC"/>
            <w:bottom w:val="single" w:sz="2" w:space="0" w:color="DCDCDC"/>
            <w:right w:val="single" w:sz="2" w:space="0" w:color="DCDCDC"/>
          </w:divBdr>
          <w:divsChild>
            <w:div w:id="87193292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2" w:space="20" w:color="DCDCDC"/>
                <w:bottom w:val="single" w:sz="6" w:space="0" w:color="DCDCDC"/>
                <w:right w:val="single" w:sz="2" w:space="0" w:color="DCDCD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news/39747/" TargetMode="External"/><Relationship Id="rId5" Type="http://schemas.openxmlformats.org/officeDocument/2006/relationships/hyperlink" Target="http://government.ru/rugovclassifier/8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Комаристая Юлия Александровна</dc:creator>
  <cp:keywords/>
  <dc:description/>
  <cp:lastModifiedBy>Комаристая Юлия Александровна</cp:lastModifiedBy>
  <cp:revision>1</cp:revision>
  <cp:lastPrinted>2020-05-28T06:34:00Z</cp:lastPrinted>
  <dcterms:created xsi:type="dcterms:W3CDTF">2020-05-28T06:34:00Z</dcterms:created>
  <dcterms:modified xsi:type="dcterms:W3CDTF">2020-05-28T06:36:00Z</dcterms:modified>
</cp:coreProperties>
</file>